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382F3E" w14:textId="1A2C86B2" w:rsidR="00242BEF" w:rsidRPr="002E018D" w:rsidRDefault="00242BEF" w:rsidP="004116DA">
      <w:pPr>
        <w:pStyle w:val="PlainText"/>
        <w:spacing w:after="240" w:line="288" w:lineRule="auto"/>
        <w:rPr>
          <w:rFonts w:ascii="Arial" w:hAnsi="Arial" w:cs="Arial"/>
          <w:sz w:val="22"/>
          <w:szCs w:val="22"/>
        </w:rPr>
      </w:pPr>
      <w:r w:rsidRPr="002E018D">
        <w:rPr>
          <w:rFonts w:ascii="Arial" w:hAnsi="Arial" w:cs="Arial"/>
          <w:sz w:val="22"/>
          <w:szCs w:val="22"/>
        </w:rPr>
        <w:t>This article is the</w:t>
      </w:r>
      <w:r w:rsidR="00F96CE0" w:rsidRPr="002E018D">
        <w:rPr>
          <w:rFonts w:ascii="Arial" w:hAnsi="Arial" w:cs="Arial"/>
          <w:sz w:val="22"/>
          <w:szCs w:val="22"/>
        </w:rPr>
        <w:t xml:space="preserve"> third </w:t>
      </w:r>
      <w:r w:rsidRPr="002E018D">
        <w:rPr>
          <w:rFonts w:ascii="Arial" w:hAnsi="Arial" w:cs="Arial"/>
          <w:sz w:val="22"/>
          <w:szCs w:val="22"/>
        </w:rPr>
        <w:t xml:space="preserve">in a three-part series that applies Edwin </w:t>
      </w:r>
      <w:r w:rsidR="005919CE" w:rsidRPr="002E018D">
        <w:rPr>
          <w:rFonts w:ascii="Arial" w:hAnsi="Arial" w:cs="Arial"/>
          <w:sz w:val="22"/>
          <w:szCs w:val="22"/>
        </w:rPr>
        <w:t>Friedman</w:t>
      </w:r>
      <w:r w:rsidR="005919CE">
        <w:rPr>
          <w:rFonts w:ascii="Arial" w:hAnsi="Arial" w:cs="Arial"/>
          <w:sz w:val="22"/>
          <w:szCs w:val="22"/>
        </w:rPr>
        <w:t>’</w:t>
      </w:r>
      <w:r w:rsidR="005919CE" w:rsidRPr="002E018D">
        <w:rPr>
          <w:rFonts w:ascii="Arial" w:hAnsi="Arial" w:cs="Arial"/>
          <w:sz w:val="22"/>
          <w:szCs w:val="22"/>
        </w:rPr>
        <w:t xml:space="preserve">s </w:t>
      </w:r>
      <w:r w:rsidRPr="002E018D">
        <w:rPr>
          <w:rFonts w:ascii="Arial" w:hAnsi="Arial" w:cs="Arial"/>
          <w:i/>
          <w:iCs/>
          <w:sz w:val="22"/>
          <w:szCs w:val="22"/>
        </w:rPr>
        <w:t>A Failure of Nerve</w:t>
      </w:r>
      <w:r w:rsidRPr="002E018D">
        <w:rPr>
          <w:rFonts w:ascii="Arial" w:hAnsi="Arial" w:cs="Arial"/>
          <w:sz w:val="22"/>
          <w:szCs w:val="22"/>
        </w:rPr>
        <w:t xml:space="preserve">, Gregory </w:t>
      </w:r>
      <w:r w:rsidR="005919CE" w:rsidRPr="002E018D">
        <w:rPr>
          <w:rFonts w:ascii="Arial" w:hAnsi="Arial" w:cs="Arial"/>
          <w:sz w:val="22"/>
          <w:szCs w:val="22"/>
        </w:rPr>
        <w:t>Kramer</w:t>
      </w:r>
      <w:r w:rsidR="005919CE">
        <w:rPr>
          <w:rFonts w:ascii="Arial" w:hAnsi="Arial" w:cs="Arial"/>
          <w:sz w:val="22"/>
          <w:szCs w:val="22"/>
        </w:rPr>
        <w:t>’</w:t>
      </w:r>
      <w:r w:rsidR="005919CE" w:rsidRPr="002E018D">
        <w:rPr>
          <w:rFonts w:ascii="Arial" w:hAnsi="Arial" w:cs="Arial"/>
          <w:sz w:val="22"/>
          <w:szCs w:val="22"/>
        </w:rPr>
        <w:t xml:space="preserve">s </w:t>
      </w:r>
      <w:r w:rsidRPr="002E018D">
        <w:rPr>
          <w:rFonts w:ascii="Arial" w:hAnsi="Arial" w:cs="Arial"/>
          <w:i/>
          <w:iCs/>
          <w:sz w:val="22"/>
          <w:szCs w:val="22"/>
        </w:rPr>
        <w:t>Insight Dialogue</w:t>
      </w:r>
      <w:r w:rsidRPr="002E018D">
        <w:rPr>
          <w:rFonts w:ascii="Arial" w:hAnsi="Arial" w:cs="Arial"/>
          <w:sz w:val="22"/>
          <w:szCs w:val="22"/>
        </w:rPr>
        <w:t xml:space="preserve">, and Karl </w:t>
      </w:r>
      <w:r w:rsidR="005919CE" w:rsidRPr="002E018D">
        <w:rPr>
          <w:rFonts w:ascii="Arial" w:hAnsi="Arial" w:cs="Arial"/>
          <w:sz w:val="22"/>
          <w:szCs w:val="22"/>
        </w:rPr>
        <w:t>Weick</w:t>
      </w:r>
      <w:r w:rsidR="005919CE">
        <w:rPr>
          <w:rFonts w:ascii="Arial" w:hAnsi="Arial" w:cs="Arial"/>
          <w:sz w:val="22"/>
          <w:szCs w:val="22"/>
        </w:rPr>
        <w:t>’</w:t>
      </w:r>
      <w:r w:rsidR="005919CE" w:rsidRPr="002E018D">
        <w:rPr>
          <w:rFonts w:ascii="Arial" w:hAnsi="Arial" w:cs="Arial"/>
          <w:sz w:val="22"/>
          <w:szCs w:val="22"/>
        </w:rPr>
        <w:t xml:space="preserve">s </w:t>
      </w:r>
      <w:r w:rsidRPr="002E018D">
        <w:rPr>
          <w:rFonts w:ascii="Arial" w:hAnsi="Arial" w:cs="Arial"/>
          <w:i/>
          <w:iCs/>
          <w:sz w:val="22"/>
          <w:szCs w:val="22"/>
        </w:rPr>
        <w:t>Small Wins</w:t>
      </w:r>
      <w:r w:rsidR="005919CE">
        <w:rPr>
          <w:rFonts w:ascii="Arial" w:hAnsi="Arial" w:cs="Arial"/>
          <w:i/>
          <w:iCs/>
          <w:sz w:val="22"/>
          <w:szCs w:val="22"/>
        </w:rPr>
        <w:t xml:space="preserve"> </w:t>
      </w:r>
      <w:r w:rsidRPr="002E018D">
        <w:rPr>
          <w:rFonts w:ascii="Arial" w:hAnsi="Arial" w:cs="Arial"/>
          <w:sz w:val="22"/>
          <w:szCs w:val="22"/>
        </w:rPr>
        <w:t>to</w:t>
      </w:r>
      <w:r w:rsidR="00D31CD0">
        <w:rPr>
          <w:rFonts w:ascii="Arial" w:hAnsi="Arial" w:cs="Arial"/>
          <w:sz w:val="22"/>
          <w:szCs w:val="22"/>
        </w:rPr>
        <w:t>ward</w:t>
      </w:r>
      <w:r w:rsidRPr="002E018D">
        <w:rPr>
          <w:rFonts w:ascii="Arial" w:hAnsi="Arial" w:cs="Arial"/>
          <w:sz w:val="22"/>
          <w:szCs w:val="22"/>
        </w:rPr>
        <w:t xml:space="preserve"> foster</w:t>
      </w:r>
      <w:r w:rsidR="00D31CD0">
        <w:rPr>
          <w:rFonts w:ascii="Arial" w:hAnsi="Arial" w:cs="Arial"/>
          <w:sz w:val="22"/>
          <w:szCs w:val="22"/>
        </w:rPr>
        <w:t>ing</w:t>
      </w:r>
      <w:r w:rsidRPr="002E018D">
        <w:rPr>
          <w:rFonts w:ascii="Arial" w:hAnsi="Arial" w:cs="Arial"/>
          <w:sz w:val="22"/>
          <w:szCs w:val="22"/>
        </w:rPr>
        <w:t xml:space="preserve"> cultural competence, effectiveness, and well-being </w:t>
      </w:r>
      <w:r w:rsidR="00D31CD0">
        <w:rPr>
          <w:rFonts w:ascii="Arial" w:hAnsi="Arial" w:cs="Arial"/>
          <w:sz w:val="22"/>
          <w:szCs w:val="22"/>
        </w:rPr>
        <w:t xml:space="preserve">among </w:t>
      </w:r>
      <w:r w:rsidRPr="002E018D">
        <w:rPr>
          <w:rFonts w:ascii="Arial" w:hAnsi="Arial" w:cs="Arial"/>
          <w:sz w:val="22"/>
          <w:szCs w:val="22"/>
        </w:rPr>
        <w:t>diversity, equity, and inclusion (DEI) leaders.</w:t>
      </w:r>
    </w:p>
    <w:p w14:paraId="43280907" w14:textId="71E2872F" w:rsidR="00F96CE0" w:rsidRPr="002E018D" w:rsidRDefault="005919CE" w:rsidP="004116DA">
      <w:pPr>
        <w:pStyle w:val="PlainText"/>
        <w:spacing w:after="240" w:line="288" w:lineRule="auto"/>
        <w:rPr>
          <w:rFonts w:ascii="Arial" w:hAnsi="Arial" w:cs="Arial"/>
          <w:sz w:val="22"/>
          <w:szCs w:val="22"/>
        </w:rPr>
      </w:pPr>
      <w:r w:rsidRPr="68F6E697">
        <w:rPr>
          <w:rFonts w:ascii="Arial" w:hAnsi="Arial" w:cs="Arial"/>
          <w:sz w:val="22"/>
          <w:szCs w:val="22"/>
        </w:rPr>
        <w:t xml:space="preserve">According to the </w:t>
      </w:r>
      <w:r w:rsidR="00F96CE0" w:rsidRPr="68F6E697">
        <w:rPr>
          <w:rFonts w:ascii="Arial" w:hAnsi="Arial" w:cs="Arial"/>
          <w:sz w:val="22"/>
          <w:szCs w:val="22"/>
        </w:rPr>
        <w:t xml:space="preserve">first </w:t>
      </w:r>
      <w:r w:rsidRPr="68F6E697">
        <w:rPr>
          <w:rFonts w:ascii="Arial" w:hAnsi="Arial" w:cs="Arial"/>
          <w:sz w:val="22"/>
          <w:szCs w:val="22"/>
        </w:rPr>
        <w:t xml:space="preserve">article’s </w:t>
      </w:r>
      <w:r w:rsidR="00F96CE0" w:rsidRPr="68F6E697">
        <w:rPr>
          <w:rFonts w:ascii="Arial" w:hAnsi="Arial" w:cs="Arial"/>
          <w:sz w:val="22"/>
          <w:szCs w:val="22"/>
        </w:rPr>
        <w:t>theme</w:t>
      </w:r>
      <w:r w:rsidRPr="68F6E697">
        <w:rPr>
          <w:rFonts w:ascii="Arial" w:hAnsi="Arial" w:cs="Arial"/>
          <w:sz w:val="22"/>
          <w:szCs w:val="22"/>
        </w:rPr>
        <w:t xml:space="preserve">, </w:t>
      </w:r>
      <w:r w:rsidR="00F96CE0" w:rsidRPr="68F6E697">
        <w:rPr>
          <w:rFonts w:ascii="Arial" w:hAnsi="Arial" w:cs="Arial"/>
          <w:sz w:val="22"/>
          <w:szCs w:val="22"/>
        </w:rPr>
        <w:t xml:space="preserve">differentiated leaders have a deep sense of calm, </w:t>
      </w:r>
      <w:r w:rsidRPr="68F6E697">
        <w:rPr>
          <w:rFonts w:ascii="Arial" w:hAnsi="Arial" w:cs="Arial"/>
          <w:sz w:val="22"/>
          <w:szCs w:val="22"/>
        </w:rPr>
        <w:t xml:space="preserve">and recognize </w:t>
      </w:r>
      <w:r w:rsidR="00F96CE0" w:rsidRPr="68F6E697">
        <w:rPr>
          <w:rFonts w:ascii="Arial" w:hAnsi="Arial" w:cs="Arial"/>
          <w:sz w:val="22"/>
          <w:szCs w:val="22"/>
        </w:rPr>
        <w:t>who they are</w:t>
      </w:r>
      <w:r w:rsidRPr="68F6E697">
        <w:rPr>
          <w:rFonts w:ascii="Arial" w:hAnsi="Arial" w:cs="Arial"/>
          <w:sz w:val="22"/>
          <w:szCs w:val="22"/>
        </w:rPr>
        <w:t xml:space="preserve"> and </w:t>
      </w:r>
      <w:r w:rsidR="00F96CE0" w:rsidRPr="68F6E697">
        <w:rPr>
          <w:rFonts w:ascii="Arial" w:hAnsi="Arial" w:cs="Arial"/>
          <w:sz w:val="22"/>
          <w:szCs w:val="22"/>
        </w:rPr>
        <w:t>what is unique about them</w:t>
      </w:r>
      <w:r w:rsidRPr="68F6E697">
        <w:rPr>
          <w:rFonts w:ascii="Arial" w:hAnsi="Arial" w:cs="Arial"/>
          <w:sz w:val="22"/>
          <w:szCs w:val="22"/>
        </w:rPr>
        <w:t xml:space="preserve"> </w:t>
      </w:r>
      <w:r w:rsidR="00F96CE0" w:rsidRPr="68F6E697">
        <w:rPr>
          <w:rFonts w:ascii="Arial" w:hAnsi="Arial" w:cs="Arial"/>
          <w:sz w:val="22"/>
          <w:szCs w:val="22"/>
        </w:rPr>
        <w:t>to advance their ideas in a steady, undeterred drumbeat. Because they also help others understand and cherish their uniqueness, people gravitate to them</w:t>
      </w:r>
      <w:r w:rsidRPr="68F6E697">
        <w:rPr>
          <w:rFonts w:ascii="Arial" w:hAnsi="Arial" w:cs="Arial"/>
          <w:sz w:val="22"/>
          <w:szCs w:val="22"/>
        </w:rPr>
        <w:t xml:space="preserve">. These leaders </w:t>
      </w:r>
      <w:r w:rsidR="00F96CE0" w:rsidRPr="68F6E697">
        <w:rPr>
          <w:rFonts w:ascii="Arial" w:hAnsi="Arial" w:cs="Arial"/>
          <w:sz w:val="22"/>
          <w:szCs w:val="22"/>
        </w:rPr>
        <w:t>foster allies</w:t>
      </w:r>
      <w:r w:rsidRPr="68F6E697">
        <w:rPr>
          <w:rFonts w:ascii="Arial" w:hAnsi="Arial" w:cs="Arial"/>
          <w:sz w:val="22"/>
          <w:szCs w:val="22"/>
        </w:rPr>
        <w:t xml:space="preserve"> </w:t>
      </w:r>
      <w:r w:rsidR="00F96CE0" w:rsidRPr="68F6E697">
        <w:rPr>
          <w:rFonts w:ascii="Arial" w:hAnsi="Arial" w:cs="Arial"/>
          <w:sz w:val="22"/>
          <w:szCs w:val="22"/>
        </w:rPr>
        <w:t xml:space="preserve">and deter enemies. </w:t>
      </w:r>
      <w:r w:rsidR="00D31CD0" w:rsidRPr="68F6E697">
        <w:rPr>
          <w:rFonts w:ascii="Arial" w:hAnsi="Arial" w:cs="Arial"/>
          <w:sz w:val="22"/>
          <w:szCs w:val="22"/>
        </w:rPr>
        <w:t xml:space="preserve">DEI </w:t>
      </w:r>
      <w:r w:rsidR="00F96CE0" w:rsidRPr="68F6E697">
        <w:rPr>
          <w:rFonts w:ascii="Arial" w:hAnsi="Arial" w:cs="Arial"/>
          <w:sz w:val="22"/>
          <w:szCs w:val="22"/>
        </w:rPr>
        <w:t xml:space="preserve">leaders are the balm that improves the whole organization by enabling </w:t>
      </w:r>
      <w:r w:rsidR="222F15EB" w:rsidRPr="68F6E697">
        <w:rPr>
          <w:rFonts w:ascii="Arial" w:hAnsi="Arial" w:cs="Arial"/>
          <w:sz w:val="22"/>
          <w:szCs w:val="22"/>
        </w:rPr>
        <w:t xml:space="preserve">others </w:t>
      </w:r>
      <w:r w:rsidR="00F96CE0" w:rsidRPr="68F6E697">
        <w:rPr>
          <w:rFonts w:ascii="Arial" w:hAnsi="Arial" w:cs="Arial"/>
          <w:sz w:val="22"/>
          <w:szCs w:val="22"/>
        </w:rPr>
        <w:t xml:space="preserve">to conduct a self-examination of their racial biases. </w:t>
      </w:r>
      <w:r w:rsidR="00271586" w:rsidRPr="68F6E697">
        <w:rPr>
          <w:rFonts w:ascii="Arial" w:hAnsi="Arial" w:cs="Arial"/>
          <w:sz w:val="22"/>
          <w:szCs w:val="22"/>
        </w:rPr>
        <w:t>Th</w:t>
      </w:r>
      <w:r w:rsidR="00E60DC1" w:rsidRPr="68F6E697">
        <w:rPr>
          <w:rFonts w:ascii="Arial" w:hAnsi="Arial" w:cs="Arial"/>
          <w:sz w:val="22"/>
          <w:szCs w:val="22"/>
        </w:rPr>
        <w:t>e</w:t>
      </w:r>
      <w:r w:rsidR="00271586" w:rsidRPr="68F6E697">
        <w:rPr>
          <w:rFonts w:ascii="Arial" w:hAnsi="Arial" w:cs="Arial"/>
          <w:sz w:val="22"/>
          <w:szCs w:val="22"/>
        </w:rPr>
        <w:t xml:space="preserve"> second </w:t>
      </w:r>
      <w:r w:rsidRPr="68F6E697">
        <w:rPr>
          <w:rFonts w:ascii="Arial" w:hAnsi="Arial" w:cs="Arial"/>
          <w:sz w:val="22"/>
          <w:szCs w:val="22"/>
        </w:rPr>
        <w:t xml:space="preserve">article’s </w:t>
      </w:r>
      <w:r w:rsidR="00271586" w:rsidRPr="68F6E697">
        <w:rPr>
          <w:rFonts w:ascii="Arial" w:hAnsi="Arial" w:cs="Arial"/>
          <w:sz w:val="22"/>
          <w:szCs w:val="22"/>
        </w:rPr>
        <w:t xml:space="preserve">central point </w:t>
      </w:r>
      <w:r w:rsidR="00D31CD0" w:rsidRPr="68F6E697">
        <w:rPr>
          <w:rFonts w:ascii="Arial" w:hAnsi="Arial" w:cs="Arial"/>
          <w:sz w:val="22"/>
          <w:szCs w:val="22"/>
        </w:rPr>
        <w:t xml:space="preserve">was </w:t>
      </w:r>
      <w:r w:rsidR="00271586" w:rsidRPr="68F6E697">
        <w:rPr>
          <w:rFonts w:ascii="Arial" w:hAnsi="Arial" w:cs="Arial"/>
          <w:sz w:val="22"/>
          <w:szCs w:val="22"/>
        </w:rPr>
        <w:t xml:space="preserve">that one </w:t>
      </w:r>
      <w:r w:rsidRPr="68F6E697">
        <w:rPr>
          <w:rFonts w:ascii="Arial" w:hAnsi="Arial" w:cs="Arial"/>
          <w:sz w:val="22"/>
          <w:szCs w:val="22"/>
        </w:rPr>
        <w:t xml:space="preserve">can cultivate </w:t>
      </w:r>
      <w:r w:rsidR="00271586" w:rsidRPr="68F6E697">
        <w:rPr>
          <w:rFonts w:ascii="Arial" w:hAnsi="Arial" w:cs="Arial"/>
          <w:sz w:val="22"/>
          <w:szCs w:val="22"/>
        </w:rPr>
        <w:t>cultural competence through relationship</w:t>
      </w:r>
      <w:r w:rsidRPr="68F6E697">
        <w:rPr>
          <w:rFonts w:ascii="Arial" w:hAnsi="Arial" w:cs="Arial"/>
          <w:sz w:val="22"/>
          <w:szCs w:val="22"/>
        </w:rPr>
        <w:t>s</w:t>
      </w:r>
      <w:r w:rsidR="00271586" w:rsidRPr="68F6E697">
        <w:rPr>
          <w:rFonts w:ascii="Arial" w:hAnsi="Arial" w:cs="Arial"/>
          <w:sz w:val="22"/>
          <w:szCs w:val="22"/>
        </w:rPr>
        <w:t xml:space="preserve"> with other people. The </w:t>
      </w:r>
      <w:r w:rsidR="007173E3" w:rsidRPr="68F6E697">
        <w:rPr>
          <w:rFonts w:ascii="Arial" w:hAnsi="Arial" w:cs="Arial"/>
          <w:sz w:val="22"/>
          <w:szCs w:val="22"/>
        </w:rPr>
        <w:t xml:space="preserve">Relational Meditation </w:t>
      </w:r>
      <w:r w:rsidRPr="68F6E697">
        <w:rPr>
          <w:rFonts w:ascii="Arial" w:hAnsi="Arial" w:cs="Arial"/>
          <w:sz w:val="22"/>
          <w:szCs w:val="22"/>
        </w:rPr>
        <w:t xml:space="preserve">(RM) </w:t>
      </w:r>
      <w:r w:rsidR="00271586" w:rsidRPr="68F6E697">
        <w:rPr>
          <w:rFonts w:ascii="Arial" w:hAnsi="Arial" w:cs="Arial"/>
          <w:sz w:val="22"/>
          <w:szCs w:val="22"/>
        </w:rPr>
        <w:t>aspects of mindfulness (pause and relax), relational growth (open and attune to emergence), and wisdom (listen deeply and speak the truth) allow two or more people to pause, suspend judgment</w:t>
      </w:r>
      <w:r w:rsidRPr="68F6E697">
        <w:rPr>
          <w:rFonts w:ascii="Arial" w:hAnsi="Arial" w:cs="Arial"/>
          <w:sz w:val="22"/>
          <w:szCs w:val="22"/>
        </w:rPr>
        <w:t>,</w:t>
      </w:r>
      <w:r w:rsidR="00271586" w:rsidRPr="68F6E697">
        <w:rPr>
          <w:rFonts w:ascii="Arial" w:hAnsi="Arial" w:cs="Arial"/>
          <w:sz w:val="22"/>
          <w:szCs w:val="22"/>
        </w:rPr>
        <w:t xml:space="preserve"> and be curious of each other in a vulnerable, </w:t>
      </w:r>
      <w:r w:rsidR="0065759A" w:rsidRPr="68F6E697">
        <w:rPr>
          <w:rFonts w:ascii="Arial" w:hAnsi="Arial" w:cs="Arial"/>
          <w:sz w:val="22"/>
          <w:szCs w:val="22"/>
        </w:rPr>
        <w:t>caring,</w:t>
      </w:r>
      <w:r w:rsidR="00271586" w:rsidRPr="68F6E697">
        <w:rPr>
          <w:rFonts w:ascii="Arial" w:hAnsi="Arial" w:cs="Arial"/>
          <w:sz w:val="22"/>
          <w:szCs w:val="22"/>
        </w:rPr>
        <w:t xml:space="preserve"> and discerning manner. RM</w:t>
      </w:r>
      <w:r w:rsidR="00F45F31" w:rsidRPr="68F6E697">
        <w:rPr>
          <w:rFonts w:ascii="Arial" w:hAnsi="Arial" w:cs="Arial"/>
          <w:sz w:val="22"/>
          <w:szCs w:val="22"/>
        </w:rPr>
        <w:t xml:space="preserve"> </w:t>
      </w:r>
      <w:r w:rsidR="00271586" w:rsidRPr="68F6E697">
        <w:rPr>
          <w:rFonts w:ascii="Arial" w:hAnsi="Arial" w:cs="Arial"/>
          <w:sz w:val="22"/>
          <w:szCs w:val="22"/>
        </w:rPr>
        <w:t>fosters cultural competence because it encourages practitioners to generate the psychological safety needed to examine emotional and anxiety</w:t>
      </w:r>
      <w:r w:rsidRPr="68F6E697">
        <w:rPr>
          <w:rFonts w:ascii="Arial" w:hAnsi="Arial" w:cs="Arial"/>
          <w:sz w:val="22"/>
          <w:szCs w:val="22"/>
        </w:rPr>
        <w:t>-</w:t>
      </w:r>
      <w:r w:rsidR="00271586" w:rsidRPr="68F6E697">
        <w:rPr>
          <w:rFonts w:ascii="Arial" w:hAnsi="Arial" w:cs="Arial"/>
          <w:sz w:val="22"/>
          <w:szCs w:val="22"/>
        </w:rPr>
        <w:t>raising issues</w:t>
      </w:r>
      <w:r w:rsidR="00D31CD0" w:rsidRPr="68F6E697">
        <w:rPr>
          <w:rFonts w:ascii="Arial" w:hAnsi="Arial" w:cs="Arial"/>
          <w:sz w:val="22"/>
          <w:szCs w:val="22"/>
        </w:rPr>
        <w:t>,</w:t>
      </w:r>
      <w:r w:rsidR="00271586" w:rsidRPr="68F6E697">
        <w:rPr>
          <w:rFonts w:ascii="Arial" w:hAnsi="Arial" w:cs="Arial"/>
          <w:sz w:val="22"/>
          <w:szCs w:val="22"/>
        </w:rPr>
        <w:t xml:space="preserve"> such as racism.</w:t>
      </w:r>
    </w:p>
    <w:p w14:paraId="75CD14A0" w14:textId="7819D113" w:rsidR="00513D62" w:rsidRPr="002E018D" w:rsidRDefault="00D63264" w:rsidP="004116DA">
      <w:pPr>
        <w:spacing w:after="240" w:line="288" w:lineRule="auto"/>
        <w:rPr>
          <w:rFonts w:ascii="Arial" w:hAnsi="Arial" w:cs="Arial"/>
        </w:rPr>
      </w:pPr>
      <w:r w:rsidRPr="68F6E697">
        <w:rPr>
          <w:rFonts w:ascii="Arial" w:hAnsi="Arial" w:cs="Arial"/>
        </w:rPr>
        <w:t>Th</w:t>
      </w:r>
      <w:r w:rsidR="00271586" w:rsidRPr="68F6E697">
        <w:rPr>
          <w:rFonts w:ascii="Arial" w:hAnsi="Arial" w:cs="Arial"/>
        </w:rPr>
        <w:t xml:space="preserve">is </w:t>
      </w:r>
      <w:r w:rsidRPr="68F6E697">
        <w:rPr>
          <w:rFonts w:ascii="Arial" w:hAnsi="Arial" w:cs="Arial"/>
        </w:rPr>
        <w:t>article</w:t>
      </w:r>
      <w:r w:rsidR="005919CE" w:rsidRPr="68F6E697">
        <w:rPr>
          <w:rFonts w:ascii="Arial" w:hAnsi="Arial" w:cs="Arial"/>
        </w:rPr>
        <w:t>, the third one</w:t>
      </w:r>
      <w:r w:rsidRPr="68F6E697">
        <w:rPr>
          <w:rFonts w:ascii="Arial" w:hAnsi="Arial" w:cs="Arial"/>
        </w:rPr>
        <w:t xml:space="preserve"> in the series</w:t>
      </w:r>
      <w:r w:rsidR="005919CE" w:rsidRPr="68F6E697">
        <w:rPr>
          <w:rFonts w:ascii="Arial" w:hAnsi="Arial" w:cs="Arial"/>
        </w:rPr>
        <w:t>,</w:t>
      </w:r>
      <w:r w:rsidRPr="68F6E697">
        <w:rPr>
          <w:rFonts w:ascii="Arial" w:hAnsi="Arial" w:cs="Arial"/>
        </w:rPr>
        <w:t xml:space="preserve"> discusses how Karl </w:t>
      </w:r>
      <w:r w:rsidR="005919CE" w:rsidRPr="68F6E697">
        <w:rPr>
          <w:rFonts w:ascii="Arial" w:hAnsi="Arial" w:cs="Arial"/>
        </w:rPr>
        <w:t xml:space="preserve">Weick’s </w:t>
      </w:r>
      <w:r w:rsidRPr="68F6E697">
        <w:rPr>
          <w:rFonts w:ascii="Arial" w:hAnsi="Arial" w:cs="Arial"/>
        </w:rPr>
        <w:t xml:space="preserve">organization theory of </w:t>
      </w:r>
      <w:r w:rsidR="005A558B" w:rsidRPr="68F6E697">
        <w:rPr>
          <w:rFonts w:ascii="Arial" w:hAnsi="Arial" w:cs="Arial"/>
        </w:rPr>
        <w:t>“</w:t>
      </w:r>
      <w:r w:rsidRPr="68F6E697">
        <w:rPr>
          <w:rFonts w:ascii="Arial" w:hAnsi="Arial" w:cs="Arial"/>
        </w:rPr>
        <w:t>small wins</w:t>
      </w:r>
      <w:r w:rsidR="005A558B" w:rsidRPr="68F6E697">
        <w:rPr>
          <w:rFonts w:ascii="Arial" w:hAnsi="Arial" w:cs="Arial"/>
        </w:rPr>
        <w:t xml:space="preserve">” </w:t>
      </w:r>
      <w:r w:rsidRPr="68F6E697">
        <w:rPr>
          <w:rFonts w:ascii="Arial" w:hAnsi="Arial" w:cs="Arial"/>
        </w:rPr>
        <w:t xml:space="preserve">can reduce individual and organizational </w:t>
      </w:r>
      <w:r w:rsidR="005919CE" w:rsidRPr="68F6E697">
        <w:rPr>
          <w:rFonts w:ascii="Arial" w:hAnsi="Arial" w:cs="Arial"/>
        </w:rPr>
        <w:t xml:space="preserve">anxieties </w:t>
      </w:r>
      <w:r w:rsidRPr="68F6E697">
        <w:rPr>
          <w:rFonts w:ascii="Arial" w:hAnsi="Arial" w:cs="Arial"/>
        </w:rPr>
        <w:t>on race and racism</w:t>
      </w:r>
      <w:r w:rsidR="005919CE" w:rsidRPr="68F6E697">
        <w:rPr>
          <w:rFonts w:ascii="Arial" w:hAnsi="Arial" w:cs="Arial"/>
        </w:rPr>
        <w:t>,</w:t>
      </w:r>
      <w:r w:rsidR="00F45F31" w:rsidRPr="68F6E697">
        <w:rPr>
          <w:rFonts w:ascii="Arial" w:hAnsi="Arial" w:cs="Arial"/>
        </w:rPr>
        <w:t xml:space="preserve"> </w:t>
      </w:r>
      <w:r w:rsidRPr="68F6E697">
        <w:rPr>
          <w:rFonts w:ascii="Arial" w:hAnsi="Arial" w:cs="Arial"/>
        </w:rPr>
        <w:t>and accelerate personal, professional, and organizational effectiveness.</w:t>
      </w:r>
      <w:r w:rsidR="00BB5F6E" w:rsidRPr="68F6E697">
        <w:rPr>
          <w:rFonts w:ascii="Arial" w:hAnsi="Arial" w:cs="Arial"/>
        </w:rPr>
        <w:t xml:space="preserve"> </w:t>
      </w:r>
      <w:r w:rsidR="009518A3" w:rsidRPr="68F6E697">
        <w:rPr>
          <w:rFonts w:ascii="Arial" w:hAnsi="Arial" w:cs="Arial"/>
        </w:rPr>
        <w:t xml:space="preserve">The small wins approach complements </w:t>
      </w:r>
      <w:r w:rsidR="00D31CD0" w:rsidRPr="68F6E697">
        <w:rPr>
          <w:rFonts w:ascii="Arial" w:hAnsi="Arial" w:cs="Arial"/>
        </w:rPr>
        <w:t xml:space="preserve">differentiated leadership </w:t>
      </w:r>
      <w:r w:rsidR="009518A3" w:rsidRPr="68F6E697">
        <w:rPr>
          <w:rFonts w:ascii="Arial" w:hAnsi="Arial" w:cs="Arial"/>
        </w:rPr>
        <w:t xml:space="preserve">and </w:t>
      </w:r>
      <w:r w:rsidR="005919CE" w:rsidRPr="68F6E697">
        <w:rPr>
          <w:rFonts w:ascii="Arial" w:hAnsi="Arial" w:cs="Arial"/>
        </w:rPr>
        <w:t xml:space="preserve">RM </w:t>
      </w:r>
      <w:r w:rsidR="009518A3" w:rsidRPr="68F6E697">
        <w:rPr>
          <w:rFonts w:ascii="Arial" w:hAnsi="Arial" w:cs="Arial"/>
        </w:rPr>
        <w:t xml:space="preserve">because it lowers general </w:t>
      </w:r>
      <w:r w:rsidR="00FF258F" w:rsidRPr="68F6E697">
        <w:rPr>
          <w:rFonts w:ascii="Arial" w:hAnsi="Arial" w:cs="Arial"/>
        </w:rPr>
        <w:t>stress</w:t>
      </w:r>
      <w:r w:rsidR="009518A3" w:rsidRPr="68F6E697">
        <w:rPr>
          <w:rFonts w:ascii="Arial" w:hAnsi="Arial" w:cs="Arial"/>
        </w:rPr>
        <w:t xml:space="preserve"> while generating impact</w:t>
      </w:r>
      <w:r w:rsidR="005919CE" w:rsidRPr="68F6E697">
        <w:rPr>
          <w:rFonts w:ascii="Arial" w:hAnsi="Arial" w:cs="Arial"/>
        </w:rPr>
        <w:t>ful</w:t>
      </w:r>
      <w:r w:rsidR="009518A3" w:rsidRPr="68F6E697">
        <w:rPr>
          <w:rFonts w:ascii="Arial" w:hAnsi="Arial" w:cs="Arial"/>
        </w:rPr>
        <w:t xml:space="preserve"> outcomes. </w:t>
      </w:r>
      <w:r w:rsidR="008C51A7" w:rsidRPr="68F6E697">
        <w:rPr>
          <w:rFonts w:ascii="Arial" w:hAnsi="Arial" w:cs="Arial"/>
        </w:rPr>
        <w:t>Weick point</w:t>
      </w:r>
      <w:r w:rsidR="005919CE" w:rsidRPr="68F6E697">
        <w:rPr>
          <w:rFonts w:ascii="Arial" w:hAnsi="Arial" w:cs="Arial"/>
        </w:rPr>
        <w:t>ed out</w:t>
      </w:r>
      <w:r w:rsidR="008C51A7" w:rsidRPr="68F6E697">
        <w:rPr>
          <w:rFonts w:ascii="Arial" w:hAnsi="Arial" w:cs="Arial"/>
        </w:rPr>
        <w:t xml:space="preserve"> that many social problems seem so big (e.g.</w:t>
      </w:r>
      <w:r w:rsidR="00FF258F" w:rsidRPr="68F6E697">
        <w:rPr>
          <w:rFonts w:ascii="Arial" w:hAnsi="Arial" w:cs="Arial"/>
        </w:rPr>
        <w:t>,</w:t>
      </w:r>
      <w:r w:rsidR="008C51A7" w:rsidRPr="68F6E697">
        <w:rPr>
          <w:rFonts w:ascii="Arial" w:hAnsi="Arial" w:cs="Arial"/>
        </w:rPr>
        <w:t xml:space="preserve"> racism) that they feel overwhelming</w:t>
      </w:r>
      <w:r w:rsidR="0034623A" w:rsidRPr="68F6E697">
        <w:rPr>
          <w:rFonts w:ascii="Arial" w:hAnsi="Arial" w:cs="Arial"/>
        </w:rPr>
        <w:t xml:space="preserve">, </w:t>
      </w:r>
      <w:r w:rsidR="008C51A7" w:rsidRPr="68F6E697">
        <w:rPr>
          <w:rFonts w:ascii="Arial" w:hAnsi="Arial" w:cs="Arial"/>
        </w:rPr>
        <w:t xml:space="preserve">resulting in inaction and </w:t>
      </w:r>
      <w:r w:rsidR="00FF258F" w:rsidRPr="68F6E697">
        <w:rPr>
          <w:rFonts w:ascii="Arial" w:hAnsi="Arial" w:cs="Arial"/>
        </w:rPr>
        <w:t>helplessness</w:t>
      </w:r>
      <w:r w:rsidR="008C51A7" w:rsidRPr="68F6E697">
        <w:rPr>
          <w:rFonts w:ascii="Arial" w:hAnsi="Arial" w:cs="Arial"/>
        </w:rPr>
        <w:t>.</w:t>
      </w:r>
      <w:r w:rsidR="0034623A">
        <w:t xml:space="preserve"> </w:t>
      </w:r>
      <w:r w:rsidR="0034623A" w:rsidRPr="68F6E697">
        <w:rPr>
          <w:rFonts w:ascii="Arial" w:hAnsi="Arial" w:cs="Arial"/>
        </w:rPr>
        <w:t>According to Weick</w:t>
      </w:r>
      <w:r w:rsidR="00FF258F" w:rsidRPr="68F6E697">
        <w:rPr>
          <w:rFonts w:ascii="Arial" w:hAnsi="Arial" w:cs="Arial"/>
        </w:rPr>
        <w:t>,</w:t>
      </w:r>
      <w:r w:rsidR="00B55CA0" w:rsidRPr="68F6E697">
        <w:rPr>
          <w:rFonts w:ascii="Arial" w:hAnsi="Arial" w:cs="Arial"/>
        </w:rPr>
        <w:t xml:space="preserve"> </w:t>
      </w:r>
      <w:r w:rsidR="0034623A" w:rsidRPr="68F6E697">
        <w:rPr>
          <w:rFonts w:ascii="Arial" w:hAnsi="Arial" w:cs="Arial"/>
        </w:rPr>
        <w:t xml:space="preserve">the most effective way to cope with this situation is to adopt </w:t>
      </w:r>
      <w:r w:rsidR="005919CE" w:rsidRPr="68F6E697">
        <w:rPr>
          <w:rFonts w:ascii="Arial" w:hAnsi="Arial" w:cs="Arial"/>
        </w:rPr>
        <w:t xml:space="preserve">the </w:t>
      </w:r>
      <w:r w:rsidR="0034623A" w:rsidRPr="68F6E697">
        <w:rPr>
          <w:rFonts w:ascii="Arial" w:hAnsi="Arial" w:cs="Arial"/>
        </w:rPr>
        <w:t xml:space="preserve">small wins approach. </w:t>
      </w:r>
    </w:p>
    <w:p w14:paraId="4281733E" w14:textId="68754F49" w:rsidR="00513D62" w:rsidRPr="002E018D" w:rsidRDefault="00513D62" w:rsidP="68F6E697">
      <w:pPr>
        <w:spacing w:after="240" w:line="288" w:lineRule="auto"/>
        <w:rPr>
          <w:rFonts w:ascii="Segoe UI" w:eastAsia="Segoe UI" w:hAnsi="Segoe UI" w:cs="Segoe UI"/>
          <w:color w:val="333333"/>
          <w:sz w:val="18"/>
          <w:szCs w:val="18"/>
        </w:rPr>
      </w:pPr>
      <w:r w:rsidRPr="68F6E697">
        <w:rPr>
          <w:rFonts w:ascii="Arial" w:hAnsi="Arial" w:cs="Arial"/>
        </w:rPr>
        <w:t>What is a small win? According to Weick</w:t>
      </w:r>
      <w:r w:rsidR="005919CE" w:rsidRPr="68F6E697">
        <w:rPr>
          <w:rFonts w:ascii="Arial" w:hAnsi="Arial" w:cs="Arial"/>
        </w:rPr>
        <w:t xml:space="preserve">, </w:t>
      </w:r>
      <w:r w:rsidR="005A558B" w:rsidRPr="68F6E697">
        <w:rPr>
          <w:rFonts w:ascii="Arial" w:hAnsi="Arial" w:cs="Arial"/>
        </w:rPr>
        <w:t>“</w:t>
      </w:r>
      <w:r w:rsidRPr="68F6E697">
        <w:rPr>
          <w:rFonts w:ascii="Arial" w:hAnsi="Arial" w:cs="Arial"/>
        </w:rPr>
        <w:t>A small win is a concrete, complete, implemented outcome of moderate importance. By itself, one small win may seem unimportant. A series of wins at small but significant tasks, however, reveals a pattern that may attract allies, deter opponents, and lower resistance to subsequent proposals</w:t>
      </w:r>
      <w:r w:rsidR="005919CE" w:rsidRPr="68F6E697">
        <w:rPr>
          <w:rFonts w:ascii="Arial" w:eastAsia="Arial" w:hAnsi="Arial" w:cs="Arial"/>
        </w:rPr>
        <w:t>.”</w:t>
      </w:r>
      <w:r w:rsidR="5D2C6C94" w:rsidRPr="68F6E697">
        <w:rPr>
          <w:rFonts w:ascii="Arial" w:eastAsia="Arial" w:hAnsi="Arial" w:cs="Arial"/>
        </w:rPr>
        <w:t xml:space="preserve"> </w:t>
      </w:r>
      <w:r w:rsidR="5D2C6C94" w:rsidRPr="68F6E697">
        <w:rPr>
          <w:rFonts w:ascii="Arial" w:eastAsia="Arial" w:hAnsi="Arial" w:cs="Arial"/>
          <w:color w:val="333333"/>
        </w:rPr>
        <w:t>(Weick, 1984, p. 44)</w:t>
      </w:r>
    </w:p>
    <w:p w14:paraId="2DA30F48" w14:textId="1BCB1C1D" w:rsidR="00452DE3" w:rsidRPr="00E27725" w:rsidRDefault="00513D62" w:rsidP="004116DA">
      <w:pPr>
        <w:spacing w:after="240" w:line="288" w:lineRule="auto"/>
        <w:rPr>
          <w:rFonts w:ascii="Arial" w:hAnsi="Arial" w:cs="Arial"/>
        </w:rPr>
      </w:pPr>
      <w:r w:rsidRPr="68F6E697">
        <w:rPr>
          <w:rFonts w:ascii="Arial" w:hAnsi="Arial" w:cs="Arial"/>
        </w:rPr>
        <w:t>Why does the small wins approach work?</w:t>
      </w:r>
      <w:r w:rsidR="00B23B3E" w:rsidRPr="68F6E697">
        <w:rPr>
          <w:rFonts w:ascii="Arial" w:hAnsi="Arial" w:cs="Arial"/>
        </w:rPr>
        <w:t xml:space="preserve"> </w:t>
      </w:r>
      <w:r w:rsidRPr="68F6E697">
        <w:rPr>
          <w:rFonts w:ascii="Arial" w:hAnsi="Arial" w:cs="Arial"/>
        </w:rPr>
        <w:t>Weik</w:t>
      </w:r>
      <w:r w:rsidR="005919CE" w:rsidRPr="68F6E697">
        <w:rPr>
          <w:rFonts w:ascii="Arial" w:hAnsi="Arial" w:cs="Arial"/>
        </w:rPr>
        <w:t xml:space="preserve"> explains that once </w:t>
      </w:r>
      <w:r w:rsidRPr="68F6E697">
        <w:rPr>
          <w:rFonts w:ascii="Arial" w:hAnsi="Arial" w:cs="Arial"/>
        </w:rPr>
        <w:t>a small win has been accomplished, forces are set in motion that favor another small win.</w:t>
      </w:r>
      <w:r w:rsidR="00B23B3E" w:rsidRPr="68F6E697">
        <w:rPr>
          <w:rFonts w:ascii="Arial" w:hAnsi="Arial" w:cs="Arial"/>
        </w:rPr>
        <w:t xml:space="preserve"> </w:t>
      </w:r>
      <w:r w:rsidRPr="68F6E697">
        <w:rPr>
          <w:rFonts w:ascii="Arial" w:hAnsi="Arial" w:cs="Arial"/>
        </w:rPr>
        <w:t>When a solution is put in place, the next solvable problem often becomes more visible.</w:t>
      </w:r>
      <w:r w:rsidR="00B23B3E" w:rsidRPr="68F6E697">
        <w:rPr>
          <w:rFonts w:ascii="Arial" w:hAnsi="Arial" w:cs="Arial"/>
        </w:rPr>
        <w:t xml:space="preserve"> </w:t>
      </w:r>
      <w:r w:rsidRPr="68F6E697">
        <w:rPr>
          <w:rFonts w:ascii="Arial" w:hAnsi="Arial" w:cs="Arial"/>
        </w:rPr>
        <w:t xml:space="preserve">This </w:t>
      </w:r>
      <w:r w:rsidR="00D31CD0" w:rsidRPr="68F6E697">
        <w:rPr>
          <w:rFonts w:ascii="Arial" w:hAnsi="Arial" w:cs="Arial"/>
        </w:rPr>
        <w:t xml:space="preserve">happens </w:t>
      </w:r>
      <w:r w:rsidRPr="68F6E697">
        <w:rPr>
          <w:rFonts w:ascii="Arial" w:hAnsi="Arial" w:cs="Arial"/>
        </w:rPr>
        <w:t>because new allies bring new solutions with them</w:t>
      </w:r>
      <w:r w:rsidR="005919CE" w:rsidRPr="68F6E697">
        <w:rPr>
          <w:rFonts w:ascii="Arial" w:hAnsi="Arial" w:cs="Arial"/>
        </w:rPr>
        <w:t>,</w:t>
      </w:r>
      <w:r w:rsidRPr="68F6E697">
        <w:rPr>
          <w:rFonts w:ascii="Arial" w:hAnsi="Arial" w:cs="Arial"/>
        </w:rPr>
        <w:t xml:space="preserve"> and old opponents change their habits.</w:t>
      </w:r>
      <w:r w:rsidR="00B23B3E" w:rsidRPr="68F6E697">
        <w:rPr>
          <w:rFonts w:ascii="Arial" w:hAnsi="Arial" w:cs="Arial"/>
        </w:rPr>
        <w:t xml:space="preserve"> </w:t>
      </w:r>
      <w:r w:rsidRPr="68F6E697">
        <w:rPr>
          <w:rFonts w:ascii="Arial" w:hAnsi="Arial" w:cs="Arial"/>
        </w:rPr>
        <w:t>Additional resources also flow toward winners, which means that slightly larger wins can be attempted.</w:t>
      </w:r>
      <w:r w:rsidR="00B23B3E" w:rsidRPr="68F6E697">
        <w:rPr>
          <w:rFonts w:ascii="Arial" w:hAnsi="Arial" w:cs="Arial"/>
        </w:rPr>
        <w:t xml:space="preserve"> </w:t>
      </w:r>
      <w:r w:rsidR="008C51A7" w:rsidRPr="68F6E697">
        <w:rPr>
          <w:rFonts w:ascii="Arial" w:hAnsi="Arial" w:cs="Arial"/>
        </w:rPr>
        <w:t xml:space="preserve">I quote from his seminal 1984 article on small wins </w:t>
      </w:r>
      <w:r w:rsidR="00B23B3E" w:rsidRPr="68F6E697">
        <w:rPr>
          <w:rFonts w:ascii="Arial" w:hAnsi="Arial" w:cs="Arial"/>
        </w:rPr>
        <w:t>r</w:t>
      </w:r>
      <w:r w:rsidR="008C51A7" w:rsidRPr="68F6E697">
        <w:rPr>
          <w:rFonts w:ascii="Arial" w:hAnsi="Arial" w:cs="Arial"/>
        </w:rPr>
        <w:t>edefining the scale of social problems:</w:t>
      </w:r>
      <w:r w:rsidR="005919CE" w:rsidRPr="68F6E697">
        <w:rPr>
          <w:rFonts w:ascii="Arial" w:hAnsi="Arial" w:cs="Arial"/>
        </w:rPr>
        <w:t xml:space="preserve"> “</w:t>
      </w:r>
      <w:r w:rsidR="008C51A7" w:rsidRPr="68F6E697">
        <w:rPr>
          <w:rFonts w:ascii="Arial" w:hAnsi="Arial" w:cs="Arial"/>
        </w:rPr>
        <w:t>The massive scale on which social problems are conceived often precludes innovative action because the limits of bounded rationality are exceeded…People often define social problems in ways that overwhelm their ability to do anything about them</w:t>
      </w:r>
      <w:r w:rsidR="005919CE" w:rsidRPr="68F6E697">
        <w:rPr>
          <w:rFonts w:ascii="Arial" w:hAnsi="Arial" w:cs="Arial"/>
        </w:rPr>
        <w:t>.”</w:t>
      </w:r>
    </w:p>
    <w:p w14:paraId="200DC541" w14:textId="011F015A" w:rsidR="00C6356E" w:rsidRPr="002E018D" w:rsidRDefault="00816165" w:rsidP="004B23F7">
      <w:pPr>
        <w:spacing w:after="240" w:line="288" w:lineRule="auto"/>
        <w:rPr>
          <w:rFonts w:ascii="Arial" w:hAnsi="Arial" w:cs="Arial"/>
        </w:rPr>
      </w:pPr>
      <w:r w:rsidRPr="002E018D">
        <w:rPr>
          <w:rFonts w:ascii="Arial" w:hAnsi="Arial" w:cs="Arial"/>
        </w:rPr>
        <w:t xml:space="preserve">Racism, or </w:t>
      </w:r>
      <w:r w:rsidR="00391194" w:rsidRPr="002E018D">
        <w:rPr>
          <w:rFonts w:ascii="Arial" w:hAnsi="Arial" w:cs="Arial"/>
        </w:rPr>
        <w:t>attempting to foster racial equity</w:t>
      </w:r>
      <w:r w:rsidR="000761E7" w:rsidRPr="002E018D">
        <w:rPr>
          <w:rFonts w:ascii="Arial" w:hAnsi="Arial" w:cs="Arial"/>
        </w:rPr>
        <w:t>,</w:t>
      </w:r>
      <w:r w:rsidR="00391194" w:rsidRPr="002E018D">
        <w:rPr>
          <w:rFonts w:ascii="Arial" w:hAnsi="Arial" w:cs="Arial"/>
        </w:rPr>
        <w:t xml:space="preserve"> </w:t>
      </w:r>
      <w:r w:rsidR="006004DD" w:rsidRPr="002E018D">
        <w:rPr>
          <w:rFonts w:ascii="Arial" w:hAnsi="Arial" w:cs="Arial"/>
        </w:rPr>
        <w:t xml:space="preserve">is a </w:t>
      </w:r>
      <w:r w:rsidR="004B23F7" w:rsidRPr="002E018D">
        <w:rPr>
          <w:rFonts w:ascii="Arial" w:hAnsi="Arial" w:cs="Arial"/>
        </w:rPr>
        <w:t>wicked problem</w:t>
      </w:r>
      <w:r w:rsidR="000761E7" w:rsidRPr="002E018D">
        <w:rPr>
          <w:rFonts w:ascii="Arial" w:hAnsi="Arial" w:cs="Arial"/>
        </w:rPr>
        <w:t xml:space="preserve">. It belongs to </w:t>
      </w:r>
      <w:r w:rsidR="004B23F7" w:rsidRPr="002E018D">
        <w:rPr>
          <w:rFonts w:ascii="Arial" w:hAnsi="Arial" w:cs="Arial"/>
        </w:rPr>
        <w:t xml:space="preserve">a class of social </w:t>
      </w:r>
      <w:r w:rsidR="000761E7" w:rsidRPr="002E018D">
        <w:rPr>
          <w:rFonts w:ascii="Arial" w:hAnsi="Arial" w:cs="Arial"/>
        </w:rPr>
        <w:t>issue</w:t>
      </w:r>
      <w:r w:rsidR="004B23F7" w:rsidRPr="002E018D">
        <w:rPr>
          <w:rFonts w:ascii="Arial" w:hAnsi="Arial" w:cs="Arial"/>
        </w:rPr>
        <w:t>s that are ill-defined and continuously changing</w:t>
      </w:r>
      <w:r w:rsidR="00ED7821" w:rsidRPr="002E018D">
        <w:rPr>
          <w:rFonts w:ascii="Arial" w:hAnsi="Arial" w:cs="Arial"/>
        </w:rPr>
        <w:t>,</w:t>
      </w:r>
      <w:r w:rsidR="004B23F7" w:rsidRPr="002E018D">
        <w:rPr>
          <w:rFonts w:ascii="Arial" w:hAnsi="Arial" w:cs="Arial"/>
        </w:rPr>
        <w:t xml:space="preserve"> where many actors with conflicting values</w:t>
      </w:r>
      <w:r w:rsidR="005919CE">
        <w:rPr>
          <w:rFonts w:ascii="Arial" w:hAnsi="Arial" w:cs="Arial"/>
        </w:rPr>
        <w:t xml:space="preserve"> </w:t>
      </w:r>
      <w:r w:rsidR="005919CE" w:rsidRPr="005919CE">
        <w:rPr>
          <w:rFonts w:ascii="Arial" w:hAnsi="Arial" w:cs="Arial"/>
        </w:rPr>
        <w:t>are involved</w:t>
      </w:r>
      <w:r w:rsidR="00ED7821" w:rsidRPr="002E018D">
        <w:rPr>
          <w:rFonts w:ascii="Arial" w:hAnsi="Arial" w:cs="Arial"/>
        </w:rPr>
        <w:t>. B</w:t>
      </w:r>
      <w:r w:rsidR="004B23F7" w:rsidRPr="002E018D">
        <w:rPr>
          <w:rFonts w:ascii="Arial" w:hAnsi="Arial" w:cs="Arial"/>
        </w:rPr>
        <w:t xml:space="preserve">ecause of the high </w:t>
      </w:r>
      <w:r w:rsidR="00837CD5" w:rsidRPr="002E018D">
        <w:rPr>
          <w:rFonts w:ascii="Arial" w:hAnsi="Arial" w:cs="Arial"/>
        </w:rPr>
        <w:t>interconnectivity levels</w:t>
      </w:r>
      <w:r w:rsidR="004B23F7" w:rsidRPr="002E018D">
        <w:rPr>
          <w:rFonts w:ascii="Arial" w:hAnsi="Arial" w:cs="Arial"/>
        </w:rPr>
        <w:t xml:space="preserve">, </w:t>
      </w:r>
      <w:r w:rsidR="005919CE" w:rsidRPr="002E018D">
        <w:rPr>
          <w:rFonts w:ascii="Arial" w:hAnsi="Arial" w:cs="Arial"/>
        </w:rPr>
        <w:t>today</w:t>
      </w:r>
      <w:r w:rsidR="005919CE">
        <w:rPr>
          <w:rFonts w:ascii="Arial" w:hAnsi="Arial" w:cs="Arial"/>
        </w:rPr>
        <w:t>’</w:t>
      </w:r>
      <w:r w:rsidR="005919CE" w:rsidRPr="002E018D">
        <w:rPr>
          <w:rFonts w:ascii="Arial" w:hAnsi="Arial" w:cs="Arial"/>
        </w:rPr>
        <w:t xml:space="preserve">s </w:t>
      </w:r>
      <w:r w:rsidR="004B23F7" w:rsidRPr="002E018D">
        <w:rPr>
          <w:rFonts w:ascii="Arial" w:hAnsi="Arial" w:cs="Arial"/>
        </w:rPr>
        <w:t xml:space="preserve">solutions often turn out to be </w:t>
      </w:r>
      <w:r w:rsidR="005919CE" w:rsidRPr="002E018D">
        <w:rPr>
          <w:rFonts w:ascii="Arial" w:hAnsi="Arial" w:cs="Arial"/>
        </w:rPr>
        <w:lastRenderedPageBreak/>
        <w:t>tomorrow</w:t>
      </w:r>
      <w:r w:rsidR="005919CE">
        <w:rPr>
          <w:rFonts w:ascii="Arial" w:hAnsi="Arial" w:cs="Arial"/>
        </w:rPr>
        <w:t>’</w:t>
      </w:r>
      <w:r w:rsidR="005919CE" w:rsidRPr="002E018D">
        <w:rPr>
          <w:rFonts w:ascii="Arial" w:hAnsi="Arial" w:cs="Arial"/>
        </w:rPr>
        <w:t xml:space="preserve">s </w:t>
      </w:r>
      <w:r w:rsidR="004B23F7" w:rsidRPr="002E018D">
        <w:rPr>
          <w:rFonts w:ascii="Arial" w:hAnsi="Arial" w:cs="Arial"/>
        </w:rPr>
        <w:t>problems</w:t>
      </w:r>
      <w:r w:rsidR="005723CD" w:rsidRPr="002E018D">
        <w:rPr>
          <w:rStyle w:val="FootnoteReference"/>
          <w:rFonts w:ascii="Arial" w:hAnsi="Arial" w:cs="Arial"/>
        </w:rPr>
        <w:footnoteReference w:id="1"/>
      </w:r>
      <w:r w:rsidR="004B23F7" w:rsidRPr="002E018D">
        <w:rPr>
          <w:rFonts w:ascii="Arial" w:hAnsi="Arial" w:cs="Arial"/>
        </w:rPr>
        <w:t>.</w:t>
      </w:r>
      <w:r w:rsidR="000761E7" w:rsidRPr="002E018D">
        <w:rPr>
          <w:rFonts w:ascii="Arial" w:hAnsi="Arial" w:cs="Arial"/>
        </w:rPr>
        <w:t xml:space="preserve"> </w:t>
      </w:r>
      <w:r w:rsidR="0076209F">
        <w:rPr>
          <w:rFonts w:ascii="Arial" w:hAnsi="Arial" w:cs="Arial"/>
        </w:rPr>
        <w:t xml:space="preserve">As per </w:t>
      </w:r>
      <w:r w:rsidR="0076209F" w:rsidRPr="0076209F">
        <w:rPr>
          <w:rFonts w:ascii="Arial" w:hAnsi="Arial" w:cs="Arial"/>
        </w:rPr>
        <w:t>Termeer and Dewulf (2019)</w:t>
      </w:r>
      <w:r w:rsidR="0076209F">
        <w:rPr>
          <w:rFonts w:ascii="Arial" w:hAnsi="Arial" w:cs="Arial"/>
        </w:rPr>
        <w:t>,</w:t>
      </w:r>
      <w:r w:rsidR="0076209F" w:rsidRPr="0076209F">
        <w:rPr>
          <w:rFonts w:ascii="Arial" w:hAnsi="Arial" w:cs="Arial"/>
        </w:rPr>
        <w:t xml:space="preserve"> </w:t>
      </w:r>
      <w:r w:rsidR="0076209F">
        <w:rPr>
          <w:rFonts w:ascii="Arial" w:hAnsi="Arial" w:cs="Arial"/>
        </w:rPr>
        <w:t>a</w:t>
      </w:r>
      <w:r w:rsidR="0076209F" w:rsidRPr="002E018D">
        <w:rPr>
          <w:rFonts w:ascii="Arial" w:hAnsi="Arial" w:cs="Arial"/>
        </w:rPr>
        <w:t xml:space="preserve"> </w:t>
      </w:r>
      <w:r w:rsidR="007F0433" w:rsidRPr="002E018D">
        <w:rPr>
          <w:rFonts w:ascii="Arial" w:hAnsi="Arial" w:cs="Arial"/>
        </w:rPr>
        <w:t>win</w:t>
      </w:r>
      <w:r w:rsidR="0076209F">
        <w:rPr>
          <w:rFonts w:ascii="Arial" w:hAnsi="Arial" w:cs="Arial"/>
        </w:rPr>
        <w:t xml:space="preserve"> can be called a small win if it possesses the following </w:t>
      </w:r>
      <w:r w:rsidR="00C6356E" w:rsidRPr="002E018D">
        <w:rPr>
          <w:rFonts w:ascii="Arial" w:hAnsi="Arial" w:cs="Arial"/>
        </w:rPr>
        <w:t xml:space="preserve">crucial characteristics. </w:t>
      </w:r>
    </w:p>
    <w:p w14:paraId="17C7F7D3" w14:textId="1558C217" w:rsidR="00C6356E" w:rsidRPr="002E018D" w:rsidRDefault="0076209F" w:rsidP="004116DA">
      <w:pPr>
        <w:pStyle w:val="ListParagraph"/>
        <w:numPr>
          <w:ilvl w:val="0"/>
          <w:numId w:val="2"/>
        </w:numPr>
        <w:spacing w:after="240" w:line="288" w:lineRule="auto"/>
        <w:rPr>
          <w:rFonts w:ascii="Arial" w:hAnsi="Arial" w:cs="Arial"/>
        </w:rPr>
      </w:pPr>
      <w:r>
        <w:rPr>
          <w:rFonts w:ascii="Arial" w:hAnsi="Arial" w:cs="Arial"/>
        </w:rPr>
        <w:t xml:space="preserve">The </w:t>
      </w:r>
      <w:r w:rsidR="00C6356E" w:rsidRPr="002E018D">
        <w:rPr>
          <w:rFonts w:ascii="Arial" w:hAnsi="Arial" w:cs="Arial"/>
        </w:rPr>
        <w:t xml:space="preserve">win </w:t>
      </w:r>
      <w:r>
        <w:rPr>
          <w:rFonts w:ascii="Arial" w:hAnsi="Arial" w:cs="Arial"/>
        </w:rPr>
        <w:t xml:space="preserve">is a </w:t>
      </w:r>
      <w:r w:rsidR="00C6356E" w:rsidRPr="002E018D">
        <w:rPr>
          <w:rFonts w:ascii="Arial" w:hAnsi="Arial" w:cs="Arial"/>
        </w:rPr>
        <w:t>concrete outcome that go</w:t>
      </w:r>
      <w:r>
        <w:rPr>
          <w:rFonts w:ascii="Arial" w:hAnsi="Arial" w:cs="Arial"/>
        </w:rPr>
        <w:t>es</w:t>
      </w:r>
      <w:r w:rsidR="00C6356E" w:rsidRPr="002E018D">
        <w:rPr>
          <w:rFonts w:ascii="Arial" w:hAnsi="Arial" w:cs="Arial"/>
        </w:rPr>
        <w:t xml:space="preserve"> beyond</w:t>
      </w:r>
      <w:r w:rsidR="00832471" w:rsidRPr="002E018D">
        <w:rPr>
          <w:rFonts w:ascii="Arial" w:hAnsi="Arial" w:cs="Arial"/>
        </w:rPr>
        <w:t xml:space="preserve"> </w:t>
      </w:r>
      <w:r w:rsidR="00C6356E" w:rsidRPr="002E018D">
        <w:rPr>
          <w:rFonts w:ascii="Arial" w:hAnsi="Arial" w:cs="Arial"/>
        </w:rPr>
        <w:t>creative ideas and promises.</w:t>
      </w:r>
    </w:p>
    <w:p w14:paraId="5E6653CE" w14:textId="0F4018AD" w:rsidR="00C6356E" w:rsidRPr="002E018D" w:rsidRDefault="0076209F" w:rsidP="004116DA">
      <w:pPr>
        <w:pStyle w:val="ListParagraph"/>
        <w:numPr>
          <w:ilvl w:val="0"/>
          <w:numId w:val="2"/>
        </w:numPr>
        <w:spacing w:after="240" w:line="288" w:lineRule="auto"/>
        <w:rPr>
          <w:rFonts w:ascii="Arial" w:hAnsi="Arial" w:cs="Arial"/>
        </w:rPr>
      </w:pPr>
      <w:r>
        <w:rPr>
          <w:rFonts w:ascii="Arial" w:hAnsi="Arial" w:cs="Arial"/>
        </w:rPr>
        <w:t xml:space="preserve">The </w:t>
      </w:r>
      <w:r w:rsidR="00C6356E" w:rsidRPr="002E018D">
        <w:rPr>
          <w:rFonts w:ascii="Arial" w:hAnsi="Arial" w:cs="Arial"/>
        </w:rPr>
        <w:t xml:space="preserve">win </w:t>
      </w:r>
      <w:r>
        <w:rPr>
          <w:rFonts w:ascii="Arial" w:hAnsi="Arial" w:cs="Arial"/>
        </w:rPr>
        <w:t xml:space="preserve">is </w:t>
      </w:r>
      <w:r w:rsidR="00C6356E" w:rsidRPr="002E018D">
        <w:rPr>
          <w:rFonts w:ascii="Arial" w:hAnsi="Arial" w:cs="Arial"/>
        </w:rPr>
        <w:t xml:space="preserve">not </w:t>
      </w:r>
      <w:r>
        <w:rPr>
          <w:rFonts w:ascii="Arial" w:hAnsi="Arial" w:cs="Arial"/>
        </w:rPr>
        <w:t xml:space="preserve">a </w:t>
      </w:r>
      <w:r w:rsidR="00C6356E" w:rsidRPr="002E018D">
        <w:rPr>
          <w:rFonts w:ascii="Arial" w:hAnsi="Arial" w:cs="Arial"/>
        </w:rPr>
        <w:t xml:space="preserve">quick </w:t>
      </w:r>
      <w:r>
        <w:rPr>
          <w:rFonts w:ascii="Arial" w:hAnsi="Arial" w:cs="Arial"/>
        </w:rPr>
        <w:t xml:space="preserve">one, </w:t>
      </w:r>
      <w:r w:rsidR="00C6356E" w:rsidRPr="002E018D">
        <w:rPr>
          <w:rFonts w:ascii="Arial" w:hAnsi="Arial" w:cs="Arial"/>
        </w:rPr>
        <w:t>where people take</w:t>
      </w:r>
      <w:r w:rsidR="00832471" w:rsidRPr="002E018D">
        <w:rPr>
          <w:rFonts w:ascii="Arial" w:hAnsi="Arial" w:cs="Arial"/>
        </w:rPr>
        <w:t xml:space="preserve"> </w:t>
      </w:r>
      <w:r>
        <w:rPr>
          <w:rFonts w:ascii="Arial" w:hAnsi="Arial" w:cs="Arial"/>
        </w:rPr>
        <w:t xml:space="preserve">rapid </w:t>
      </w:r>
      <w:r w:rsidR="00C6356E" w:rsidRPr="002E018D">
        <w:rPr>
          <w:rFonts w:ascii="Arial" w:hAnsi="Arial" w:cs="Arial"/>
        </w:rPr>
        <w:t>and easy steps to solve simple issues and gain easy victories.</w:t>
      </w:r>
      <w:r w:rsidR="00832471" w:rsidRPr="002E018D">
        <w:rPr>
          <w:rFonts w:ascii="Arial" w:hAnsi="Arial" w:cs="Arial"/>
        </w:rPr>
        <w:t xml:space="preserve"> </w:t>
      </w:r>
      <w:r>
        <w:rPr>
          <w:rFonts w:ascii="Arial" w:hAnsi="Arial" w:cs="Arial"/>
        </w:rPr>
        <w:t xml:space="preserve">Rather, the win brings about an </w:t>
      </w:r>
      <w:r w:rsidR="00C6356E" w:rsidRPr="002E018D">
        <w:rPr>
          <w:rFonts w:ascii="Arial" w:hAnsi="Arial" w:cs="Arial"/>
        </w:rPr>
        <w:t>in-depth change and include</w:t>
      </w:r>
      <w:r>
        <w:rPr>
          <w:rFonts w:ascii="Arial" w:hAnsi="Arial" w:cs="Arial"/>
        </w:rPr>
        <w:t>s</w:t>
      </w:r>
      <w:r w:rsidR="00C6356E" w:rsidRPr="002E018D">
        <w:rPr>
          <w:rFonts w:ascii="Arial" w:hAnsi="Arial" w:cs="Arial"/>
        </w:rPr>
        <w:t xml:space="preserve"> a </w:t>
      </w:r>
      <w:r w:rsidR="00FF258F" w:rsidRPr="002E018D">
        <w:rPr>
          <w:rFonts w:ascii="Arial" w:hAnsi="Arial" w:cs="Arial"/>
        </w:rPr>
        <w:t>shift</w:t>
      </w:r>
      <w:r w:rsidR="00C6356E" w:rsidRPr="002E018D">
        <w:rPr>
          <w:rFonts w:ascii="Arial" w:hAnsi="Arial" w:cs="Arial"/>
        </w:rPr>
        <w:t xml:space="preserve"> in attitude,</w:t>
      </w:r>
      <w:r w:rsidR="00832471" w:rsidRPr="002E018D">
        <w:rPr>
          <w:rFonts w:ascii="Arial" w:hAnsi="Arial" w:cs="Arial"/>
        </w:rPr>
        <w:t xml:space="preserve"> </w:t>
      </w:r>
      <w:r w:rsidR="00C6356E" w:rsidRPr="002E018D">
        <w:rPr>
          <w:rFonts w:ascii="Arial" w:hAnsi="Arial" w:cs="Arial"/>
        </w:rPr>
        <w:t>mind</w:t>
      </w:r>
      <w:r w:rsidR="00FF258F" w:rsidRPr="002E018D">
        <w:rPr>
          <w:rFonts w:ascii="Arial" w:hAnsi="Arial" w:cs="Arial"/>
        </w:rPr>
        <w:t xml:space="preserve"> </w:t>
      </w:r>
      <w:r w:rsidR="00C6356E" w:rsidRPr="002E018D">
        <w:rPr>
          <w:rFonts w:ascii="Arial" w:hAnsi="Arial" w:cs="Arial"/>
        </w:rPr>
        <w:t>space, routines, beliefs</w:t>
      </w:r>
      <w:r w:rsidR="00FF258F" w:rsidRPr="002E018D">
        <w:rPr>
          <w:rFonts w:ascii="Arial" w:hAnsi="Arial" w:cs="Arial"/>
        </w:rPr>
        <w:t>,</w:t>
      </w:r>
      <w:r w:rsidR="00C6356E" w:rsidRPr="002E018D">
        <w:rPr>
          <w:rFonts w:ascii="Arial" w:hAnsi="Arial" w:cs="Arial"/>
        </w:rPr>
        <w:t xml:space="preserve"> or values.</w:t>
      </w:r>
    </w:p>
    <w:p w14:paraId="1CAE9330" w14:textId="2EFCB323" w:rsidR="00C6356E" w:rsidRPr="002E018D" w:rsidRDefault="0076209F" w:rsidP="004116DA">
      <w:pPr>
        <w:pStyle w:val="ListParagraph"/>
        <w:numPr>
          <w:ilvl w:val="0"/>
          <w:numId w:val="2"/>
        </w:numPr>
        <w:spacing w:after="240" w:line="288" w:lineRule="auto"/>
        <w:rPr>
          <w:rFonts w:ascii="Arial" w:hAnsi="Arial" w:cs="Arial"/>
        </w:rPr>
      </w:pPr>
      <w:r>
        <w:rPr>
          <w:rFonts w:ascii="Arial" w:hAnsi="Arial" w:cs="Arial"/>
        </w:rPr>
        <w:t xml:space="preserve">The </w:t>
      </w:r>
      <w:r w:rsidR="00C6356E" w:rsidRPr="002E018D">
        <w:rPr>
          <w:rFonts w:ascii="Arial" w:hAnsi="Arial" w:cs="Arial"/>
        </w:rPr>
        <w:t xml:space="preserve">win </w:t>
      </w:r>
      <w:r>
        <w:rPr>
          <w:rFonts w:ascii="Arial" w:hAnsi="Arial" w:cs="Arial"/>
        </w:rPr>
        <w:t xml:space="preserve">is </w:t>
      </w:r>
      <w:r w:rsidR="00C6356E" w:rsidRPr="002E018D">
        <w:rPr>
          <w:rFonts w:ascii="Arial" w:hAnsi="Arial" w:cs="Arial"/>
        </w:rPr>
        <w:t xml:space="preserve">of moderate importance and </w:t>
      </w:r>
      <w:r>
        <w:rPr>
          <w:rFonts w:ascii="Arial" w:hAnsi="Arial" w:cs="Arial"/>
        </w:rPr>
        <w:t>is “</w:t>
      </w:r>
      <w:r w:rsidRPr="002E018D">
        <w:rPr>
          <w:rFonts w:ascii="Arial" w:hAnsi="Arial" w:cs="Arial"/>
        </w:rPr>
        <w:t xml:space="preserve">mostly </w:t>
      </w:r>
      <w:r w:rsidR="00C6356E" w:rsidRPr="002E018D">
        <w:rPr>
          <w:rFonts w:ascii="Arial" w:hAnsi="Arial" w:cs="Arial"/>
        </w:rPr>
        <w:t>located at a micro or local level because only that level</w:t>
      </w:r>
      <w:r w:rsidR="00832471" w:rsidRPr="002E018D">
        <w:rPr>
          <w:rFonts w:ascii="Arial" w:hAnsi="Arial" w:cs="Arial"/>
        </w:rPr>
        <w:t xml:space="preserve"> </w:t>
      </w:r>
      <w:r w:rsidR="00C6356E" w:rsidRPr="002E018D">
        <w:rPr>
          <w:rFonts w:ascii="Arial" w:hAnsi="Arial" w:cs="Arial"/>
        </w:rPr>
        <w:t>allows people to effectively meet complexity and turbulence</w:t>
      </w:r>
      <w:r w:rsidR="00FF258F" w:rsidRPr="002E018D">
        <w:rPr>
          <w:rFonts w:ascii="Arial" w:hAnsi="Arial" w:cs="Arial"/>
        </w:rPr>
        <w:t>.</w:t>
      </w:r>
      <w:r>
        <w:rPr>
          <w:rFonts w:ascii="Arial" w:hAnsi="Arial" w:cs="Arial"/>
        </w:rPr>
        <w:t>”</w:t>
      </w:r>
    </w:p>
    <w:p w14:paraId="6953A4FA" w14:textId="5AFB439A" w:rsidR="00C6356E" w:rsidRPr="002E018D" w:rsidRDefault="0076209F" w:rsidP="004116DA">
      <w:pPr>
        <w:pStyle w:val="ListParagraph"/>
        <w:numPr>
          <w:ilvl w:val="0"/>
          <w:numId w:val="2"/>
        </w:numPr>
        <w:spacing w:after="240" w:line="288" w:lineRule="auto"/>
        <w:rPr>
          <w:rFonts w:ascii="Arial" w:hAnsi="Arial" w:cs="Arial"/>
        </w:rPr>
      </w:pPr>
      <w:r>
        <w:rPr>
          <w:rFonts w:ascii="Arial" w:hAnsi="Arial" w:cs="Arial"/>
        </w:rPr>
        <w:t xml:space="preserve">The win </w:t>
      </w:r>
      <w:r w:rsidR="00C6356E" w:rsidRPr="002E018D">
        <w:rPr>
          <w:rFonts w:ascii="Arial" w:hAnsi="Arial" w:cs="Arial"/>
        </w:rPr>
        <w:t>involve</w:t>
      </w:r>
      <w:r>
        <w:rPr>
          <w:rFonts w:ascii="Arial" w:hAnsi="Arial" w:cs="Arial"/>
        </w:rPr>
        <w:t>s</w:t>
      </w:r>
      <w:r w:rsidR="00C6356E" w:rsidRPr="002E018D">
        <w:rPr>
          <w:rFonts w:ascii="Arial" w:hAnsi="Arial" w:cs="Arial"/>
        </w:rPr>
        <w:t xml:space="preserve"> a </w:t>
      </w:r>
      <w:r w:rsidR="00FF258F" w:rsidRPr="002E018D">
        <w:rPr>
          <w:rFonts w:ascii="Arial" w:hAnsi="Arial" w:cs="Arial"/>
        </w:rPr>
        <w:t>favorabl</w:t>
      </w:r>
      <w:r w:rsidR="00C6356E" w:rsidRPr="002E018D">
        <w:rPr>
          <w:rFonts w:ascii="Arial" w:hAnsi="Arial" w:cs="Arial"/>
        </w:rPr>
        <w:t xml:space="preserve">e judgment and </w:t>
      </w:r>
      <w:r>
        <w:rPr>
          <w:rFonts w:ascii="Arial" w:hAnsi="Arial" w:cs="Arial"/>
        </w:rPr>
        <w:t>includes “</w:t>
      </w:r>
      <w:r w:rsidR="00FF258F" w:rsidRPr="002E018D">
        <w:rPr>
          <w:rFonts w:ascii="Arial" w:hAnsi="Arial" w:cs="Arial"/>
        </w:rPr>
        <w:t>specific</w:t>
      </w:r>
      <w:r w:rsidR="00C6356E" w:rsidRPr="002E018D">
        <w:rPr>
          <w:rFonts w:ascii="Arial" w:hAnsi="Arial" w:cs="Arial"/>
        </w:rPr>
        <w:t xml:space="preserve"> steps that make an </w:t>
      </w:r>
      <w:r w:rsidR="00FF258F" w:rsidRPr="002E018D">
        <w:rPr>
          <w:rFonts w:ascii="Arial" w:hAnsi="Arial" w:cs="Arial"/>
        </w:rPr>
        <w:t>essential</w:t>
      </w:r>
      <w:r w:rsidR="00C6356E" w:rsidRPr="002E018D">
        <w:rPr>
          <w:rFonts w:ascii="Arial" w:hAnsi="Arial" w:cs="Arial"/>
        </w:rPr>
        <w:t xml:space="preserve"> contribution to a </w:t>
      </w:r>
      <w:r w:rsidR="0065759A" w:rsidRPr="002E018D">
        <w:rPr>
          <w:rFonts w:ascii="Arial" w:hAnsi="Arial" w:cs="Arial"/>
        </w:rPr>
        <w:t>shared</w:t>
      </w:r>
      <w:r w:rsidR="00C6356E" w:rsidRPr="002E018D">
        <w:rPr>
          <w:rFonts w:ascii="Arial" w:hAnsi="Arial" w:cs="Arial"/>
        </w:rPr>
        <w:t xml:space="preserve"> ambition</w:t>
      </w:r>
      <w:r w:rsidR="00FF258F" w:rsidRPr="002E018D">
        <w:rPr>
          <w:rFonts w:ascii="Arial" w:hAnsi="Arial" w:cs="Arial"/>
        </w:rPr>
        <w:t>.</w:t>
      </w:r>
      <w:r>
        <w:rPr>
          <w:rFonts w:ascii="Arial" w:hAnsi="Arial" w:cs="Arial"/>
        </w:rPr>
        <w:t>”</w:t>
      </w:r>
    </w:p>
    <w:p w14:paraId="303159EB" w14:textId="2510BB74" w:rsidR="00126572" w:rsidRPr="002E018D" w:rsidRDefault="00114312" w:rsidP="00114312">
      <w:pPr>
        <w:spacing w:after="240" w:line="288" w:lineRule="auto"/>
        <w:rPr>
          <w:rFonts w:ascii="Arial" w:hAnsi="Arial" w:cs="Arial"/>
        </w:rPr>
      </w:pPr>
      <w:r w:rsidRPr="002E018D">
        <w:rPr>
          <w:rFonts w:ascii="Arial" w:hAnsi="Arial" w:cs="Arial"/>
        </w:rPr>
        <w:t xml:space="preserve">The </w:t>
      </w:r>
      <w:r w:rsidR="00571B18" w:rsidRPr="002E018D">
        <w:rPr>
          <w:rFonts w:ascii="Arial" w:hAnsi="Arial" w:cs="Arial"/>
        </w:rPr>
        <w:t>s</w:t>
      </w:r>
      <w:r w:rsidRPr="002E018D">
        <w:rPr>
          <w:rFonts w:ascii="Arial" w:hAnsi="Arial" w:cs="Arial"/>
        </w:rPr>
        <w:t>mall wins</w:t>
      </w:r>
      <w:r w:rsidR="00571B18" w:rsidRPr="002E018D">
        <w:rPr>
          <w:rFonts w:ascii="Arial" w:hAnsi="Arial" w:cs="Arial"/>
        </w:rPr>
        <w:t xml:space="preserve"> approach</w:t>
      </w:r>
      <w:r w:rsidRPr="002E018D">
        <w:rPr>
          <w:rFonts w:ascii="Arial" w:hAnsi="Arial" w:cs="Arial"/>
        </w:rPr>
        <w:t xml:space="preserve"> </w:t>
      </w:r>
      <w:r w:rsidR="00463C6B" w:rsidRPr="002E018D">
        <w:rPr>
          <w:rFonts w:ascii="Arial" w:hAnsi="Arial" w:cs="Arial"/>
        </w:rPr>
        <w:t>helps us</w:t>
      </w:r>
      <w:r w:rsidR="00EC13F0" w:rsidRPr="002E018D">
        <w:rPr>
          <w:rFonts w:ascii="Arial" w:hAnsi="Arial" w:cs="Arial"/>
        </w:rPr>
        <w:t xml:space="preserve"> </w:t>
      </w:r>
      <w:r w:rsidR="005C695E" w:rsidRPr="002E018D">
        <w:rPr>
          <w:rFonts w:ascii="Arial" w:hAnsi="Arial" w:cs="Arial"/>
        </w:rPr>
        <w:t xml:space="preserve">progress </w:t>
      </w:r>
      <w:r w:rsidR="006E38F9">
        <w:rPr>
          <w:rFonts w:ascii="Arial" w:hAnsi="Arial" w:cs="Arial"/>
        </w:rPr>
        <w:t xml:space="preserve">toward solving </w:t>
      </w:r>
      <w:r w:rsidR="005C695E" w:rsidRPr="002E018D">
        <w:rPr>
          <w:rFonts w:ascii="Arial" w:hAnsi="Arial" w:cs="Arial"/>
        </w:rPr>
        <w:t>complex</w:t>
      </w:r>
      <w:r w:rsidR="00EC13F0" w:rsidRPr="002E018D">
        <w:rPr>
          <w:rFonts w:ascii="Arial" w:hAnsi="Arial" w:cs="Arial"/>
        </w:rPr>
        <w:t>,</w:t>
      </w:r>
      <w:r w:rsidR="005C695E" w:rsidRPr="002E018D">
        <w:rPr>
          <w:rFonts w:ascii="Arial" w:hAnsi="Arial" w:cs="Arial"/>
        </w:rPr>
        <w:t xml:space="preserve"> wicked problem</w:t>
      </w:r>
      <w:r w:rsidR="005908EB" w:rsidRPr="002E018D">
        <w:rPr>
          <w:rFonts w:ascii="Arial" w:hAnsi="Arial" w:cs="Arial"/>
        </w:rPr>
        <w:t>s</w:t>
      </w:r>
      <w:r w:rsidR="006E38F9">
        <w:rPr>
          <w:rFonts w:ascii="Arial" w:hAnsi="Arial" w:cs="Arial"/>
        </w:rPr>
        <w:t>,</w:t>
      </w:r>
      <w:r w:rsidR="005908EB" w:rsidRPr="002E018D">
        <w:rPr>
          <w:rFonts w:ascii="Arial" w:hAnsi="Arial" w:cs="Arial"/>
        </w:rPr>
        <w:t xml:space="preserve"> </w:t>
      </w:r>
      <w:r w:rsidR="005C695E" w:rsidRPr="002E018D">
        <w:rPr>
          <w:rFonts w:ascii="Arial" w:hAnsi="Arial" w:cs="Arial"/>
        </w:rPr>
        <w:t xml:space="preserve">because it allows people to embrace ambiguity, uncertainty, and interconnectedness </w:t>
      </w:r>
      <w:r w:rsidR="006E38F9">
        <w:rPr>
          <w:rFonts w:ascii="Arial" w:hAnsi="Arial" w:cs="Arial"/>
        </w:rPr>
        <w:t xml:space="preserve">as well as </w:t>
      </w:r>
      <w:r w:rsidRPr="002E018D">
        <w:rPr>
          <w:rFonts w:ascii="Arial" w:hAnsi="Arial" w:cs="Arial"/>
        </w:rPr>
        <w:t>welcome new understandings.</w:t>
      </w:r>
      <w:r w:rsidR="005C695E" w:rsidRPr="002E018D">
        <w:rPr>
          <w:rFonts w:ascii="Arial" w:hAnsi="Arial" w:cs="Arial"/>
        </w:rPr>
        <w:t xml:space="preserve"> </w:t>
      </w:r>
      <w:r w:rsidR="00717EA6" w:rsidRPr="002E018D">
        <w:rPr>
          <w:rFonts w:ascii="Arial" w:hAnsi="Arial" w:cs="Arial"/>
        </w:rPr>
        <w:t xml:space="preserve">As we stressed in the first two articles, </w:t>
      </w:r>
      <w:r w:rsidR="004B77C2" w:rsidRPr="002E018D">
        <w:rPr>
          <w:rFonts w:ascii="Arial" w:hAnsi="Arial" w:cs="Arial"/>
        </w:rPr>
        <w:t>this assured</w:t>
      </w:r>
      <w:r w:rsidR="004171EB" w:rsidRPr="002E018D">
        <w:rPr>
          <w:rFonts w:ascii="Arial" w:hAnsi="Arial" w:cs="Arial"/>
        </w:rPr>
        <w:t xml:space="preserve">, </w:t>
      </w:r>
      <w:r w:rsidR="0096422A" w:rsidRPr="002E018D">
        <w:rPr>
          <w:rFonts w:ascii="Arial" w:hAnsi="Arial" w:cs="Arial"/>
        </w:rPr>
        <w:t xml:space="preserve">patient, and </w:t>
      </w:r>
      <w:r w:rsidR="004171EB" w:rsidRPr="002E018D">
        <w:rPr>
          <w:rFonts w:ascii="Arial" w:hAnsi="Arial" w:cs="Arial"/>
        </w:rPr>
        <w:t xml:space="preserve">curious calm distinguishes culturally competent </w:t>
      </w:r>
      <w:r w:rsidR="00D31CD0">
        <w:rPr>
          <w:rFonts w:ascii="Arial" w:hAnsi="Arial" w:cs="Arial"/>
        </w:rPr>
        <w:t>DEI</w:t>
      </w:r>
      <w:r w:rsidR="00D31CD0" w:rsidRPr="002E018D">
        <w:rPr>
          <w:rFonts w:ascii="Arial" w:hAnsi="Arial" w:cs="Arial"/>
        </w:rPr>
        <w:t xml:space="preserve"> </w:t>
      </w:r>
      <w:r w:rsidR="004171EB" w:rsidRPr="002E018D">
        <w:rPr>
          <w:rFonts w:ascii="Arial" w:hAnsi="Arial" w:cs="Arial"/>
        </w:rPr>
        <w:t>leaders</w:t>
      </w:r>
      <w:r w:rsidR="006E38F9">
        <w:rPr>
          <w:rFonts w:ascii="Arial" w:hAnsi="Arial" w:cs="Arial"/>
        </w:rPr>
        <w:t xml:space="preserve"> from their conventional counterparts</w:t>
      </w:r>
      <w:r w:rsidR="004171EB" w:rsidRPr="002E018D">
        <w:rPr>
          <w:rFonts w:ascii="Arial" w:hAnsi="Arial" w:cs="Arial"/>
        </w:rPr>
        <w:t>.</w:t>
      </w:r>
    </w:p>
    <w:p w14:paraId="3AF447E2" w14:textId="69CE801D" w:rsidR="00FF258F" w:rsidRPr="002E018D" w:rsidRDefault="009B4533" w:rsidP="00114312">
      <w:pPr>
        <w:spacing w:after="240" w:line="288" w:lineRule="auto"/>
        <w:rPr>
          <w:rFonts w:ascii="Arial" w:hAnsi="Arial" w:cs="Arial"/>
        </w:rPr>
      </w:pPr>
      <w:r w:rsidRPr="002E018D">
        <w:rPr>
          <w:rFonts w:ascii="Arial" w:hAnsi="Arial" w:cs="Arial"/>
        </w:rPr>
        <w:t>Let me walk through t</w:t>
      </w:r>
      <w:r w:rsidR="00EC63F5" w:rsidRPr="002E018D">
        <w:rPr>
          <w:rFonts w:ascii="Arial" w:hAnsi="Arial" w:cs="Arial"/>
        </w:rPr>
        <w:t xml:space="preserve">he three </w:t>
      </w:r>
      <w:r w:rsidR="00FF258F" w:rsidRPr="002E018D">
        <w:rPr>
          <w:rFonts w:ascii="Arial" w:hAnsi="Arial" w:cs="Arial"/>
        </w:rPr>
        <w:t>critical</w:t>
      </w:r>
      <w:r w:rsidR="00EC63F5" w:rsidRPr="002E018D">
        <w:rPr>
          <w:rFonts w:ascii="Arial" w:hAnsi="Arial" w:cs="Arial"/>
        </w:rPr>
        <w:t xml:space="preserve"> steps of small wins</w:t>
      </w:r>
      <w:r w:rsidR="006E38F9">
        <w:rPr>
          <w:rFonts w:ascii="Arial" w:hAnsi="Arial" w:cs="Arial"/>
        </w:rPr>
        <w:t>,</w:t>
      </w:r>
      <w:r w:rsidR="00EC63F5" w:rsidRPr="002E018D">
        <w:rPr>
          <w:rFonts w:ascii="Arial" w:hAnsi="Arial" w:cs="Arial"/>
        </w:rPr>
        <w:t xml:space="preserve"> </w:t>
      </w:r>
      <w:r w:rsidR="00FF258F" w:rsidRPr="002E018D">
        <w:rPr>
          <w:rFonts w:ascii="Arial" w:hAnsi="Arial" w:cs="Arial"/>
        </w:rPr>
        <w:t>focusing</w:t>
      </w:r>
      <w:r w:rsidR="00EC63F5" w:rsidRPr="002E018D">
        <w:rPr>
          <w:rFonts w:ascii="Arial" w:hAnsi="Arial" w:cs="Arial"/>
        </w:rPr>
        <w:t xml:space="preserve"> on how they aid </w:t>
      </w:r>
      <w:r w:rsidR="00821AEB" w:rsidRPr="002E018D">
        <w:rPr>
          <w:rFonts w:ascii="Arial" w:hAnsi="Arial" w:cs="Arial"/>
        </w:rPr>
        <w:t>differenti</w:t>
      </w:r>
      <w:r w:rsidR="00FF258F" w:rsidRPr="002E018D">
        <w:rPr>
          <w:rFonts w:ascii="Arial" w:hAnsi="Arial" w:cs="Arial"/>
        </w:rPr>
        <w:t>at</w:t>
      </w:r>
      <w:r w:rsidR="00821AEB" w:rsidRPr="002E018D">
        <w:rPr>
          <w:rFonts w:ascii="Arial" w:hAnsi="Arial" w:cs="Arial"/>
        </w:rPr>
        <w:t xml:space="preserve">ed leadership, </w:t>
      </w:r>
      <w:r w:rsidR="006E38F9">
        <w:rPr>
          <w:rFonts w:ascii="Arial" w:hAnsi="Arial" w:cs="Arial"/>
        </w:rPr>
        <w:t>RM</w:t>
      </w:r>
      <w:r w:rsidR="00FF258F" w:rsidRPr="002E018D">
        <w:rPr>
          <w:rFonts w:ascii="Arial" w:hAnsi="Arial" w:cs="Arial"/>
        </w:rPr>
        <w:t>,</w:t>
      </w:r>
      <w:r w:rsidR="00821AEB" w:rsidRPr="002E018D">
        <w:rPr>
          <w:rFonts w:ascii="Arial" w:hAnsi="Arial" w:cs="Arial"/>
        </w:rPr>
        <w:t xml:space="preserve"> and cultural competence.</w:t>
      </w:r>
      <w:r w:rsidR="005C6951" w:rsidRPr="002E018D">
        <w:rPr>
          <w:rFonts w:ascii="Arial" w:hAnsi="Arial" w:cs="Arial"/>
        </w:rPr>
        <w:t xml:space="preserve"> We have distinguished four crucial characteristics</w:t>
      </w:r>
      <w:r w:rsidR="004E6186" w:rsidRPr="002E018D">
        <w:rPr>
          <w:rFonts w:ascii="Arial" w:hAnsi="Arial" w:cs="Arial"/>
        </w:rPr>
        <w:t xml:space="preserve"> of small wins</w:t>
      </w:r>
      <w:r w:rsidR="005C6951" w:rsidRPr="002E018D">
        <w:rPr>
          <w:rFonts w:ascii="Arial" w:hAnsi="Arial" w:cs="Arial"/>
        </w:rPr>
        <w:t xml:space="preserve"> (see Table 1).</w:t>
      </w:r>
    </w:p>
    <w:p w14:paraId="5A69FB7E" w14:textId="2FE24340" w:rsidR="00FF258F" w:rsidRPr="002E018D" w:rsidRDefault="00FF258F" w:rsidP="00B75471">
      <w:pPr>
        <w:spacing w:after="240" w:line="288" w:lineRule="auto"/>
        <w:rPr>
          <w:rFonts w:ascii="Arial" w:hAnsi="Arial" w:cs="Arial"/>
        </w:rPr>
      </w:pPr>
      <w:r w:rsidRPr="002E018D">
        <w:rPr>
          <w:rFonts w:ascii="Arial" w:hAnsi="Arial" w:cs="Arial"/>
          <w:noProof/>
        </w:rPr>
        <w:drawing>
          <wp:inline distT="0" distB="0" distL="0" distR="0" wp14:anchorId="163AAF5E" wp14:editId="45124FC3">
            <wp:extent cx="5943600" cy="240030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rotWithShape="1">
                    <a:blip r:embed="rId8" cstate="print">
                      <a:extLst>
                        <a:ext uri="{28A0092B-C50C-407E-A947-70E740481C1C}">
                          <a14:useLocalDpi xmlns:a14="http://schemas.microsoft.com/office/drawing/2010/main" val="0"/>
                        </a:ext>
                      </a:extLst>
                    </a:blip>
                    <a:srcRect b="28219"/>
                    <a:stretch/>
                  </pic:blipFill>
                  <pic:spPr bwMode="auto">
                    <a:xfrm>
                      <a:off x="0" y="0"/>
                      <a:ext cx="5943600" cy="2400300"/>
                    </a:xfrm>
                    <a:prstGeom prst="rect">
                      <a:avLst/>
                    </a:prstGeom>
                    <a:ln>
                      <a:noFill/>
                    </a:ln>
                    <a:extLst>
                      <a:ext uri="{53640926-AAD7-44D8-BBD7-CCE9431645EC}">
                        <a14:shadowObscured xmlns:a14="http://schemas.microsoft.com/office/drawing/2010/main"/>
                      </a:ext>
                    </a:extLst>
                  </pic:spPr>
                </pic:pic>
              </a:graphicData>
            </a:graphic>
          </wp:inline>
        </w:drawing>
      </w:r>
    </w:p>
    <w:p w14:paraId="2E4DFF8D" w14:textId="2AB1C3A3" w:rsidR="00FF258F" w:rsidRPr="002E018D" w:rsidRDefault="007B4D16" w:rsidP="003B6FBC">
      <w:pPr>
        <w:spacing w:after="240" w:line="288" w:lineRule="auto"/>
        <w:rPr>
          <w:rFonts w:ascii="Arial" w:hAnsi="Arial" w:cs="Arial"/>
        </w:rPr>
      </w:pPr>
      <w:r w:rsidRPr="68F6E697">
        <w:rPr>
          <w:rFonts w:ascii="Arial" w:hAnsi="Arial" w:cs="Arial"/>
        </w:rPr>
        <w:t xml:space="preserve">First, small wins refer to concrete outcomes. </w:t>
      </w:r>
      <w:r w:rsidR="00D531A1" w:rsidRPr="68F6E697">
        <w:rPr>
          <w:rFonts w:ascii="Arial" w:hAnsi="Arial" w:cs="Arial"/>
        </w:rPr>
        <w:t xml:space="preserve">Second, small wins are always examples of in-depth change and include a </w:t>
      </w:r>
      <w:r w:rsidR="006E38F9" w:rsidRPr="68F6E697">
        <w:rPr>
          <w:rFonts w:ascii="Arial" w:hAnsi="Arial" w:cs="Arial"/>
        </w:rPr>
        <w:t xml:space="preserve">modification </w:t>
      </w:r>
      <w:r w:rsidR="00D531A1" w:rsidRPr="68F6E697">
        <w:rPr>
          <w:rFonts w:ascii="Arial" w:hAnsi="Arial" w:cs="Arial"/>
        </w:rPr>
        <w:t xml:space="preserve">in routines, beliefs, or values. Whereas superficial or first-order change means improving current practices within the existing logic, in-depth or second-order change aims to radically </w:t>
      </w:r>
      <w:r w:rsidR="006E38F9" w:rsidRPr="68F6E697">
        <w:rPr>
          <w:rFonts w:ascii="Arial" w:hAnsi="Arial" w:cs="Arial"/>
        </w:rPr>
        <w:t xml:space="preserve">rework </w:t>
      </w:r>
      <w:r w:rsidR="00D531A1" w:rsidRPr="68F6E697">
        <w:rPr>
          <w:rFonts w:ascii="Arial" w:hAnsi="Arial" w:cs="Arial"/>
        </w:rPr>
        <w:t xml:space="preserve">these practices by altering </w:t>
      </w:r>
      <w:r w:rsidR="006E38F9" w:rsidRPr="68F6E697">
        <w:rPr>
          <w:rFonts w:ascii="Arial" w:hAnsi="Arial" w:cs="Arial"/>
        </w:rPr>
        <w:t xml:space="preserve">the </w:t>
      </w:r>
      <w:r w:rsidR="00D531A1" w:rsidRPr="68F6E697">
        <w:rPr>
          <w:rFonts w:ascii="Arial" w:hAnsi="Arial" w:cs="Arial"/>
        </w:rPr>
        <w:t>values, frames</w:t>
      </w:r>
      <w:r w:rsidR="00A8354E" w:rsidRPr="68F6E697">
        <w:rPr>
          <w:rFonts w:ascii="Arial" w:hAnsi="Arial" w:cs="Arial"/>
        </w:rPr>
        <w:t>,</w:t>
      </w:r>
      <w:r w:rsidR="00D531A1" w:rsidRPr="68F6E697">
        <w:rPr>
          <w:rFonts w:ascii="Arial" w:hAnsi="Arial" w:cs="Arial"/>
        </w:rPr>
        <w:t xml:space="preserve"> and logic underlying them (Argyris &amp; Schon, 1996).</w:t>
      </w:r>
      <w:r w:rsidR="00933623" w:rsidRPr="68F6E697">
        <w:rPr>
          <w:rFonts w:ascii="Arial" w:hAnsi="Arial" w:cs="Arial"/>
        </w:rPr>
        <w:t xml:space="preserve"> Third, the steps are of moderate importance. They are mostly located at a micro or local level</w:t>
      </w:r>
      <w:r w:rsidR="006E38F9" w:rsidRPr="68F6E697">
        <w:rPr>
          <w:rFonts w:ascii="Arial" w:hAnsi="Arial" w:cs="Arial"/>
        </w:rPr>
        <w:t>,</w:t>
      </w:r>
      <w:r w:rsidR="00933623" w:rsidRPr="68F6E697">
        <w:rPr>
          <w:rFonts w:ascii="Arial" w:hAnsi="Arial" w:cs="Arial"/>
        </w:rPr>
        <w:t xml:space="preserve"> because </w:t>
      </w:r>
      <w:r w:rsidR="006E38F9" w:rsidRPr="68F6E697">
        <w:rPr>
          <w:rFonts w:ascii="Arial" w:hAnsi="Arial" w:cs="Arial"/>
        </w:rPr>
        <w:t xml:space="preserve">it is </w:t>
      </w:r>
      <w:r w:rsidR="00933623" w:rsidRPr="68F6E697">
        <w:rPr>
          <w:rFonts w:ascii="Arial" w:hAnsi="Arial" w:cs="Arial"/>
        </w:rPr>
        <w:t>only</w:t>
      </w:r>
      <w:r w:rsidR="00D31CD0" w:rsidRPr="68F6E697">
        <w:rPr>
          <w:rFonts w:ascii="Arial" w:hAnsi="Arial" w:cs="Arial"/>
        </w:rPr>
        <w:t xml:space="preserve"> at</w:t>
      </w:r>
      <w:r w:rsidR="00933623" w:rsidRPr="68F6E697">
        <w:rPr>
          <w:rFonts w:ascii="Arial" w:hAnsi="Arial" w:cs="Arial"/>
        </w:rPr>
        <w:t xml:space="preserve"> that level </w:t>
      </w:r>
      <w:r w:rsidR="006E38F9" w:rsidRPr="68F6E697">
        <w:rPr>
          <w:rFonts w:ascii="Arial" w:hAnsi="Arial" w:cs="Arial"/>
        </w:rPr>
        <w:t xml:space="preserve">that </w:t>
      </w:r>
      <w:r w:rsidR="00933623" w:rsidRPr="68F6E697">
        <w:rPr>
          <w:rFonts w:ascii="Arial" w:hAnsi="Arial" w:cs="Arial"/>
        </w:rPr>
        <w:t xml:space="preserve">people </w:t>
      </w:r>
      <w:r w:rsidR="006E38F9" w:rsidRPr="68F6E697">
        <w:rPr>
          <w:rFonts w:ascii="Arial" w:hAnsi="Arial" w:cs="Arial"/>
        </w:rPr>
        <w:t xml:space="preserve">are allowed to </w:t>
      </w:r>
      <w:r w:rsidR="00933623" w:rsidRPr="68F6E697">
        <w:rPr>
          <w:rFonts w:ascii="Arial" w:hAnsi="Arial" w:cs="Arial"/>
        </w:rPr>
        <w:t xml:space="preserve">effectively </w:t>
      </w:r>
      <w:r w:rsidR="002044D7" w:rsidRPr="68F6E697">
        <w:rPr>
          <w:rFonts w:ascii="Arial" w:hAnsi="Arial" w:cs="Arial"/>
        </w:rPr>
        <w:t xml:space="preserve">face </w:t>
      </w:r>
      <w:r w:rsidR="00933623" w:rsidRPr="68F6E697">
        <w:rPr>
          <w:rFonts w:ascii="Arial" w:hAnsi="Arial" w:cs="Arial"/>
        </w:rPr>
        <w:t>complexity and turbulence (Vermaak, 2013).</w:t>
      </w:r>
      <w:r w:rsidR="00F327D6" w:rsidRPr="68F6E697">
        <w:rPr>
          <w:rFonts w:ascii="Arial" w:hAnsi="Arial" w:cs="Arial"/>
        </w:rPr>
        <w:t xml:space="preserve"> </w:t>
      </w:r>
      <w:r w:rsidR="003B6FBC" w:rsidRPr="68F6E697">
        <w:rPr>
          <w:rFonts w:ascii="Arial" w:hAnsi="Arial" w:cs="Arial"/>
        </w:rPr>
        <w:t xml:space="preserve">The last characteristic </w:t>
      </w:r>
      <w:r w:rsidR="002044D7" w:rsidRPr="68F6E697">
        <w:rPr>
          <w:rFonts w:ascii="Arial" w:hAnsi="Arial" w:cs="Arial"/>
        </w:rPr>
        <w:t xml:space="preserve">of a small win </w:t>
      </w:r>
      <w:r w:rsidR="003B6FBC" w:rsidRPr="68F6E697">
        <w:rPr>
          <w:rFonts w:ascii="Arial" w:hAnsi="Arial" w:cs="Arial"/>
        </w:rPr>
        <w:t>is its positive judgment, as not all small steps qualify as small wins</w:t>
      </w:r>
      <w:r w:rsidR="002044D7" w:rsidRPr="68F6E697">
        <w:rPr>
          <w:rFonts w:ascii="Arial" w:hAnsi="Arial" w:cs="Arial"/>
        </w:rPr>
        <w:t>;</w:t>
      </w:r>
      <w:r w:rsidR="003B6FBC" w:rsidRPr="68F6E697">
        <w:rPr>
          <w:rFonts w:ascii="Arial" w:hAnsi="Arial" w:cs="Arial"/>
        </w:rPr>
        <w:t xml:space="preserve"> </w:t>
      </w:r>
      <w:r w:rsidR="002044D7" w:rsidRPr="68F6E697">
        <w:rPr>
          <w:rFonts w:ascii="Arial" w:hAnsi="Arial" w:cs="Arial"/>
        </w:rPr>
        <w:t xml:space="preserve">they </w:t>
      </w:r>
      <w:r w:rsidR="003B6FBC" w:rsidRPr="68F6E697">
        <w:rPr>
          <w:rFonts w:ascii="Arial" w:hAnsi="Arial" w:cs="Arial"/>
        </w:rPr>
        <w:t>could also constitute small losses.</w:t>
      </w:r>
      <w:r w:rsidR="00214ADC" w:rsidRPr="68F6E697">
        <w:rPr>
          <w:rFonts w:ascii="Arial" w:hAnsi="Arial" w:cs="Arial"/>
        </w:rPr>
        <w:t xml:space="preserve"> </w:t>
      </w:r>
      <w:r w:rsidR="003B6FBC" w:rsidRPr="68F6E697">
        <w:rPr>
          <w:rFonts w:ascii="Arial" w:hAnsi="Arial" w:cs="Arial"/>
        </w:rPr>
        <w:t xml:space="preserve">Furthermore, a small win for one person could be a </w:t>
      </w:r>
      <w:r w:rsidR="003B6FBC" w:rsidRPr="68F6E697">
        <w:rPr>
          <w:rFonts w:ascii="Arial" w:hAnsi="Arial" w:cs="Arial"/>
        </w:rPr>
        <w:lastRenderedPageBreak/>
        <w:t>small loss for someone else.</w:t>
      </w:r>
      <w:r w:rsidR="007B0097" w:rsidRPr="68F6E697">
        <w:rPr>
          <w:rFonts w:ascii="Arial" w:hAnsi="Arial" w:cs="Arial"/>
        </w:rPr>
        <w:t xml:space="preserve"> For our work, </w:t>
      </w:r>
      <w:r w:rsidR="00952ED6" w:rsidRPr="68F6E697">
        <w:rPr>
          <w:rFonts w:ascii="Arial" w:hAnsi="Arial" w:cs="Arial"/>
        </w:rPr>
        <w:t xml:space="preserve">a small </w:t>
      </w:r>
      <w:r w:rsidR="00D31CD0" w:rsidRPr="68F6E697">
        <w:rPr>
          <w:rFonts w:ascii="Arial" w:hAnsi="Arial" w:cs="Arial"/>
        </w:rPr>
        <w:t xml:space="preserve">win’s </w:t>
      </w:r>
      <w:r w:rsidR="00952ED6" w:rsidRPr="68F6E697">
        <w:rPr>
          <w:rFonts w:ascii="Arial" w:hAnsi="Arial" w:cs="Arial"/>
        </w:rPr>
        <w:t>final characteristic</w:t>
      </w:r>
      <w:r w:rsidR="00174D3E" w:rsidRPr="68F6E697">
        <w:rPr>
          <w:rFonts w:ascii="Arial" w:hAnsi="Arial" w:cs="Arial"/>
        </w:rPr>
        <w:t xml:space="preserve"> </w:t>
      </w:r>
      <w:r w:rsidR="00A02B0A" w:rsidRPr="68F6E697">
        <w:rPr>
          <w:rFonts w:ascii="Arial" w:hAnsi="Arial" w:cs="Arial"/>
        </w:rPr>
        <w:t>represents</w:t>
      </w:r>
      <w:r w:rsidR="00174D3E" w:rsidRPr="68F6E697">
        <w:rPr>
          <w:rFonts w:ascii="Arial" w:hAnsi="Arial" w:cs="Arial"/>
        </w:rPr>
        <w:t xml:space="preserve"> </w:t>
      </w:r>
      <w:r w:rsidR="00D31CD0" w:rsidRPr="68F6E697">
        <w:rPr>
          <w:rFonts w:ascii="Arial" w:hAnsi="Arial" w:cs="Arial"/>
        </w:rPr>
        <w:t xml:space="preserve">its </w:t>
      </w:r>
      <w:r w:rsidR="00174D3E" w:rsidRPr="68F6E697">
        <w:rPr>
          <w:rFonts w:ascii="Arial" w:hAnsi="Arial" w:cs="Arial"/>
        </w:rPr>
        <w:t>importan</w:t>
      </w:r>
      <w:r w:rsidR="00952ED6" w:rsidRPr="68F6E697">
        <w:rPr>
          <w:rFonts w:ascii="Arial" w:hAnsi="Arial" w:cs="Arial"/>
        </w:rPr>
        <w:t>ce</w:t>
      </w:r>
      <w:r w:rsidR="00174D3E" w:rsidRPr="68F6E697">
        <w:rPr>
          <w:rFonts w:ascii="Arial" w:hAnsi="Arial" w:cs="Arial"/>
        </w:rPr>
        <w:t xml:space="preserve"> to a </w:t>
      </w:r>
      <w:r w:rsidR="00C434EE" w:rsidRPr="68F6E697">
        <w:rPr>
          <w:rFonts w:ascii="Arial" w:hAnsi="Arial" w:cs="Arial"/>
        </w:rPr>
        <w:t>shared</w:t>
      </w:r>
      <w:r w:rsidR="00174D3E" w:rsidRPr="68F6E697">
        <w:rPr>
          <w:rFonts w:ascii="Arial" w:hAnsi="Arial" w:cs="Arial"/>
        </w:rPr>
        <w:t xml:space="preserve"> ambition.</w:t>
      </w:r>
    </w:p>
    <w:p w14:paraId="592E1AC1" w14:textId="62A1FCC0" w:rsidR="00FF258F" w:rsidRPr="002E018D" w:rsidRDefault="00FF258F" w:rsidP="00B75471">
      <w:pPr>
        <w:spacing w:after="240" w:line="288" w:lineRule="auto"/>
        <w:rPr>
          <w:rFonts w:ascii="Arial" w:hAnsi="Arial" w:cs="Arial"/>
        </w:rPr>
      </w:pPr>
      <w:r>
        <w:rPr>
          <w:noProof/>
        </w:rPr>
        <w:drawing>
          <wp:inline distT="0" distB="0" distL="0" distR="0" wp14:anchorId="082B0252" wp14:editId="3B0993DF">
            <wp:extent cx="5943600" cy="3343910"/>
            <wp:effectExtent l="0" t="0" r="0" b="889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5943600" cy="3343910"/>
                    </a:xfrm>
                    <a:prstGeom prst="rect">
                      <a:avLst/>
                    </a:prstGeom>
                  </pic:spPr>
                </pic:pic>
              </a:graphicData>
            </a:graphic>
          </wp:inline>
        </w:drawing>
      </w:r>
    </w:p>
    <w:p w14:paraId="50671D06" w14:textId="371A158B" w:rsidR="004F1BBD" w:rsidRPr="002E018D" w:rsidRDefault="009057A4" w:rsidP="0009684D">
      <w:pPr>
        <w:spacing w:after="240" w:line="288" w:lineRule="auto"/>
        <w:rPr>
          <w:rFonts w:ascii="Arial" w:hAnsi="Arial" w:cs="Arial"/>
        </w:rPr>
      </w:pPr>
      <w:r w:rsidRPr="68F6E697">
        <w:rPr>
          <w:rFonts w:ascii="Arial" w:hAnsi="Arial" w:cs="Arial"/>
        </w:rPr>
        <w:t>I</w:t>
      </w:r>
      <w:r w:rsidR="00B166DD" w:rsidRPr="68F6E697">
        <w:rPr>
          <w:rFonts w:ascii="Arial" w:hAnsi="Arial" w:cs="Arial"/>
        </w:rPr>
        <w:t xml:space="preserve">t is </w:t>
      </w:r>
      <w:r w:rsidR="00854BBE" w:rsidRPr="68F6E697">
        <w:rPr>
          <w:rFonts w:ascii="Arial" w:hAnsi="Arial" w:cs="Arial"/>
        </w:rPr>
        <w:t>essential</w:t>
      </w:r>
      <w:r w:rsidR="00B166DD" w:rsidRPr="68F6E697">
        <w:rPr>
          <w:rFonts w:ascii="Arial" w:hAnsi="Arial" w:cs="Arial"/>
        </w:rPr>
        <w:t xml:space="preserve"> to analyze whether small wins accumulate and scale</w:t>
      </w:r>
      <w:r w:rsidR="002044D7" w:rsidRPr="68F6E697">
        <w:rPr>
          <w:rFonts w:ascii="Arial" w:hAnsi="Arial" w:cs="Arial"/>
        </w:rPr>
        <w:t xml:space="preserve"> </w:t>
      </w:r>
      <w:r w:rsidR="00B166DD" w:rsidRPr="68F6E697">
        <w:rPr>
          <w:rFonts w:ascii="Arial" w:hAnsi="Arial" w:cs="Arial"/>
        </w:rPr>
        <w:t>up, broaden</w:t>
      </w:r>
      <w:r w:rsidR="002044D7" w:rsidRPr="68F6E697">
        <w:rPr>
          <w:rFonts w:ascii="Arial" w:hAnsi="Arial" w:cs="Arial"/>
        </w:rPr>
        <w:t>,</w:t>
      </w:r>
      <w:r w:rsidR="00B166DD" w:rsidRPr="68F6E697">
        <w:rPr>
          <w:rFonts w:ascii="Arial" w:hAnsi="Arial" w:cs="Arial"/>
        </w:rPr>
        <w:t xml:space="preserve"> or deepen</w:t>
      </w:r>
      <w:r w:rsidRPr="68F6E697">
        <w:rPr>
          <w:rFonts w:ascii="Arial" w:hAnsi="Arial" w:cs="Arial"/>
        </w:rPr>
        <w:t xml:space="preserve"> progress in </w:t>
      </w:r>
      <w:r w:rsidR="002044D7" w:rsidRPr="68F6E697">
        <w:rPr>
          <w:rFonts w:ascii="Arial" w:hAnsi="Arial" w:cs="Arial"/>
        </w:rPr>
        <w:t xml:space="preserve">addressing </w:t>
      </w:r>
      <w:r w:rsidRPr="68F6E697">
        <w:rPr>
          <w:rFonts w:ascii="Arial" w:hAnsi="Arial" w:cs="Arial"/>
        </w:rPr>
        <w:t>wicked problem</w:t>
      </w:r>
      <w:r w:rsidR="007D3329" w:rsidRPr="68F6E697">
        <w:rPr>
          <w:rFonts w:ascii="Arial" w:hAnsi="Arial" w:cs="Arial"/>
        </w:rPr>
        <w:t>s</w:t>
      </w:r>
      <w:r w:rsidR="002044D7" w:rsidRPr="68F6E697">
        <w:rPr>
          <w:rFonts w:ascii="Arial" w:hAnsi="Arial" w:cs="Arial"/>
        </w:rPr>
        <w:t xml:space="preserve"> </w:t>
      </w:r>
      <w:r w:rsidR="007D3329" w:rsidRPr="68F6E697">
        <w:rPr>
          <w:rFonts w:ascii="Arial" w:hAnsi="Arial" w:cs="Arial"/>
        </w:rPr>
        <w:t>such as racism.</w:t>
      </w:r>
      <w:r w:rsidRPr="68F6E697">
        <w:rPr>
          <w:rFonts w:ascii="Arial" w:hAnsi="Arial" w:cs="Arial"/>
        </w:rPr>
        <w:t xml:space="preserve"> </w:t>
      </w:r>
      <w:r w:rsidR="00106DCE" w:rsidRPr="68F6E697">
        <w:rPr>
          <w:rFonts w:ascii="Arial" w:hAnsi="Arial" w:cs="Arial"/>
        </w:rPr>
        <w:t>Therefore, the second step in the evaluation framework is to analyze whether the right propelling mechanisms are activated.</w:t>
      </w:r>
      <w:r w:rsidR="00D84075" w:rsidRPr="68F6E697">
        <w:rPr>
          <w:rFonts w:ascii="Arial" w:hAnsi="Arial" w:cs="Arial"/>
        </w:rPr>
        <w:t xml:space="preserve"> </w:t>
      </w:r>
    </w:p>
    <w:p w14:paraId="7B6A37CD" w14:textId="49813D7F" w:rsidR="00FF258F" w:rsidRPr="002E018D" w:rsidRDefault="00D84075" w:rsidP="004F79B0">
      <w:pPr>
        <w:spacing w:after="240" w:line="288" w:lineRule="auto"/>
        <w:rPr>
          <w:rFonts w:ascii="Arial" w:hAnsi="Arial" w:cs="Arial"/>
        </w:rPr>
      </w:pPr>
      <w:r w:rsidRPr="68F6E697">
        <w:rPr>
          <w:rFonts w:ascii="Arial" w:hAnsi="Arial" w:cs="Arial"/>
        </w:rPr>
        <w:t xml:space="preserve">The concrete outcomes and visible results of a single small win provide actors with the ultimate reward of positive accomplishment and the conviction that they can make a difference (Weick, 1984). </w:t>
      </w:r>
      <w:r w:rsidR="002A65A8" w:rsidRPr="68F6E697">
        <w:rPr>
          <w:rFonts w:ascii="Arial" w:hAnsi="Arial" w:cs="Arial"/>
        </w:rPr>
        <w:t xml:space="preserve">They are </w:t>
      </w:r>
      <w:r w:rsidR="005D37A9" w:rsidRPr="68F6E697">
        <w:rPr>
          <w:rFonts w:ascii="Arial" w:hAnsi="Arial" w:cs="Arial"/>
        </w:rPr>
        <w:t xml:space="preserve">energizing. </w:t>
      </w:r>
      <w:r w:rsidR="008C557B" w:rsidRPr="68F6E697">
        <w:rPr>
          <w:rFonts w:ascii="Arial" w:hAnsi="Arial" w:cs="Arial"/>
        </w:rPr>
        <w:t xml:space="preserve">Small wins are also like </w:t>
      </w:r>
      <w:r w:rsidR="002044D7" w:rsidRPr="68F6E697">
        <w:rPr>
          <w:rFonts w:ascii="Arial" w:hAnsi="Arial" w:cs="Arial"/>
        </w:rPr>
        <w:t xml:space="preserve">“miniature </w:t>
      </w:r>
      <w:r w:rsidR="008C557B" w:rsidRPr="68F6E697">
        <w:rPr>
          <w:rFonts w:ascii="Arial" w:hAnsi="Arial" w:cs="Arial"/>
        </w:rPr>
        <w:t xml:space="preserve">experiments that test implicit theories about resistance and opportunity and uncover both resources and barriers that were invisible before the situation was stirred </w:t>
      </w:r>
      <w:r w:rsidR="002044D7" w:rsidRPr="68F6E697">
        <w:rPr>
          <w:rFonts w:ascii="Arial" w:hAnsi="Arial" w:cs="Arial"/>
        </w:rPr>
        <w:t xml:space="preserve">up” </w:t>
      </w:r>
      <w:r w:rsidR="008C557B" w:rsidRPr="68F6E697">
        <w:rPr>
          <w:rFonts w:ascii="Arial" w:hAnsi="Arial" w:cs="Arial"/>
        </w:rPr>
        <w:t>(Weick, 1984, p. 44).</w:t>
      </w:r>
      <w:r w:rsidR="00053E7A" w:rsidRPr="68F6E697">
        <w:rPr>
          <w:rFonts w:ascii="Arial" w:hAnsi="Arial" w:cs="Arial"/>
        </w:rPr>
        <w:t xml:space="preserve"> People </w:t>
      </w:r>
      <w:r w:rsidR="0065759A" w:rsidRPr="68F6E697">
        <w:rPr>
          <w:rFonts w:ascii="Arial" w:hAnsi="Arial" w:cs="Arial"/>
        </w:rPr>
        <w:t>can</w:t>
      </w:r>
      <w:r w:rsidR="00053E7A" w:rsidRPr="68F6E697">
        <w:rPr>
          <w:rFonts w:ascii="Arial" w:hAnsi="Arial" w:cs="Arial"/>
        </w:rPr>
        <w:t xml:space="preserve"> learn by doing. </w:t>
      </w:r>
      <w:r w:rsidR="00AF2F0F" w:rsidRPr="68F6E697">
        <w:rPr>
          <w:rFonts w:ascii="Arial" w:hAnsi="Arial" w:cs="Arial"/>
        </w:rPr>
        <w:t xml:space="preserve">Because </w:t>
      </w:r>
      <w:r w:rsidR="002044D7" w:rsidRPr="68F6E697">
        <w:rPr>
          <w:rFonts w:ascii="Arial" w:hAnsi="Arial" w:cs="Arial"/>
        </w:rPr>
        <w:t xml:space="preserve">the </w:t>
      </w:r>
      <w:r w:rsidR="00AF2F0F" w:rsidRPr="68F6E697">
        <w:rPr>
          <w:rFonts w:ascii="Arial" w:hAnsi="Arial" w:cs="Arial"/>
        </w:rPr>
        <w:t>visible results of single small wins may guarantee more</w:t>
      </w:r>
      <w:r w:rsidR="00B535E3" w:rsidRPr="68F6E697">
        <w:rPr>
          <w:rFonts w:ascii="Arial" w:hAnsi="Arial" w:cs="Arial"/>
        </w:rPr>
        <w:t xml:space="preserve"> </w:t>
      </w:r>
      <w:r w:rsidR="00AF2F0F" w:rsidRPr="68F6E697">
        <w:rPr>
          <w:rFonts w:ascii="Arial" w:hAnsi="Arial" w:cs="Arial"/>
        </w:rPr>
        <w:t>chances of success and more certain positive outcomes, people will work for them and</w:t>
      </w:r>
      <w:r w:rsidR="00B535E3" w:rsidRPr="68F6E697">
        <w:rPr>
          <w:rFonts w:ascii="Arial" w:hAnsi="Arial" w:cs="Arial"/>
        </w:rPr>
        <w:t xml:space="preserve"> </w:t>
      </w:r>
      <w:r w:rsidR="00AF2F0F" w:rsidRPr="68F6E697">
        <w:rPr>
          <w:rFonts w:ascii="Arial" w:hAnsi="Arial" w:cs="Arial"/>
        </w:rPr>
        <w:t xml:space="preserve">mobilize new resources </w:t>
      </w:r>
      <w:r w:rsidR="00B535E3" w:rsidRPr="68F6E697">
        <w:rPr>
          <w:rFonts w:ascii="Arial" w:hAnsi="Arial" w:cs="Arial"/>
        </w:rPr>
        <w:t>to attempt slightly larger wins</w:t>
      </w:r>
      <w:r w:rsidR="00AF2F0F" w:rsidRPr="68F6E697">
        <w:rPr>
          <w:rFonts w:ascii="Arial" w:hAnsi="Arial" w:cs="Arial"/>
        </w:rPr>
        <w:t xml:space="preserve"> (Weick, 1984).</w:t>
      </w:r>
      <w:r w:rsidR="000A1A33" w:rsidRPr="68F6E697">
        <w:rPr>
          <w:rFonts w:ascii="Arial" w:hAnsi="Arial" w:cs="Arial"/>
        </w:rPr>
        <w:t xml:space="preserve"> Thus, small wins </w:t>
      </w:r>
      <w:r w:rsidR="00D31CD0" w:rsidRPr="68F6E697">
        <w:rPr>
          <w:rFonts w:ascii="Arial" w:hAnsi="Arial" w:cs="Arial"/>
        </w:rPr>
        <w:t xml:space="preserve">are </w:t>
      </w:r>
      <w:r w:rsidR="000A1A33" w:rsidRPr="68F6E697">
        <w:rPr>
          <w:rFonts w:ascii="Arial" w:hAnsi="Arial" w:cs="Arial"/>
        </w:rPr>
        <w:t>attracti</w:t>
      </w:r>
      <w:r w:rsidR="00D31CD0" w:rsidRPr="68F6E697">
        <w:rPr>
          <w:rFonts w:ascii="Arial" w:hAnsi="Arial" w:cs="Arial"/>
        </w:rPr>
        <w:t>ve</w:t>
      </w:r>
      <w:r w:rsidR="000A1A33" w:rsidRPr="68F6E697">
        <w:rPr>
          <w:rFonts w:ascii="Arial" w:hAnsi="Arial" w:cs="Arial"/>
        </w:rPr>
        <w:t>.</w:t>
      </w:r>
      <w:r w:rsidR="005B51A2" w:rsidRPr="68F6E697">
        <w:rPr>
          <w:rFonts w:ascii="Arial" w:hAnsi="Arial" w:cs="Arial"/>
        </w:rPr>
        <w:t xml:space="preserve"> Besides the directly involved stakeholders, small wins may inspire others to </w:t>
      </w:r>
      <w:r w:rsidR="002044D7" w:rsidRPr="68F6E697">
        <w:rPr>
          <w:rFonts w:ascii="Arial" w:hAnsi="Arial" w:cs="Arial"/>
        </w:rPr>
        <w:t xml:space="preserve">perceive </w:t>
      </w:r>
      <w:r w:rsidR="005B51A2" w:rsidRPr="68F6E697">
        <w:rPr>
          <w:rFonts w:ascii="Arial" w:hAnsi="Arial" w:cs="Arial"/>
        </w:rPr>
        <w:t xml:space="preserve">an alternative way of organizing </w:t>
      </w:r>
      <w:r w:rsidR="002044D7" w:rsidRPr="68F6E697">
        <w:rPr>
          <w:rFonts w:ascii="Arial" w:hAnsi="Arial" w:cs="Arial"/>
        </w:rPr>
        <w:t>in a more concrete manner</w:t>
      </w:r>
      <w:r w:rsidR="005B51A2" w:rsidRPr="68F6E697">
        <w:rPr>
          <w:rFonts w:ascii="Arial" w:hAnsi="Arial" w:cs="Arial"/>
        </w:rPr>
        <w:t xml:space="preserve">, </w:t>
      </w:r>
      <w:r w:rsidR="00D31CD0" w:rsidRPr="68F6E697">
        <w:rPr>
          <w:rFonts w:ascii="Arial" w:hAnsi="Arial" w:cs="Arial"/>
        </w:rPr>
        <w:t xml:space="preserve">causing them to </w:t>
      </w:r>
      <w:r w:rsidR="005B51A2" w:rsidRPr="68F6E697">
        <w:rPr>
          <w:rFonts w:ascii="Arial" w:hAnsi="Arial" w:cs="Arial"/>
        </w:rPr>
        <w:t>imitate</w:t>
      </w:r>
      <w:r w:rsidR="00BF3AC0" w:rsidRPr="68F6E697">
        <w:rPr>
          <w:rFonts w:ascii="Arial" w:hAnsi="Arial" w:cs="Arial"/>
        </w:rPr>
        <w:t xml:space="preserve"> </w:t>
      </w:r>
      <w:r w:rsidR="005B51A2" w:rsidRPr="68F6E697">
        <w:rPr>
          <w:rFonts w:ascii="Arial" w:hAnsi="Arial" w:cs="Arial"/>
        </w:rPr>
        <w:t>or adopt it (Reay et al., 2006). The bandwagon effect is a psychological phenomenon</w:t>
      </w:r>
      <w:r w:rsidR="00BF3AC0" w:rsidRPr="68F6E697">
        <w:rPr>
          <w:rFonts w:ascii="Arial" w:hAnsi="Arial" w:cs="Arial"/>
        </w:rPr>
        <w:t xml:space="preserve"> </w:t>
      </w:r>
      <w:r w:rsidR="005B51A2" w:rsidRPr="68F6E697">
        <w:rPr>
          <w:rFonts w:ascii="Arial" w:hAnsi="Arial" w:cs="Arial"/>
        </w:rPr>
        <w:t>whereby people do something because other people are doing it (Behn, 2002).</w:t>
      </w:r>
      <w:r w:rsidR="00A544C2" w:rsidRPr="68F6E697">
        <w:rPr>
          <w:rFonts w:ascii="Arial" w:hAnsi="Arial" w:cs="Arial"/>
        </w:rPr>
        <w:t xml:space="preserve"> Small wins may also accumulate when they combine with other events across boundaries of policy systems and scales (Reay et al., 2006). </w:t>
      </w:r>
      <w:r w:rsidR="002044D7" w:rsidRPr="68F6E697">
        <w:rPr>
          <w:rFonts w:ascii="Arial" w:hAnsi="Arial" w:cs="Arial"/>
        </w:rPr>
        <w:t xml:space="preserve">In fact, </w:t>
      </w:r>
      <w:r w:rsidR="003F123F" w:rsidRPr="68F6E697">
        <w:rPr>
          <w:rFonts w:ascii="Arial" w:hAnsi="Arial" w:cs="Arial"/>
        </w:rPr>
        <w:t>coupling</w:t>
      </w:r>
      <w:r w:rsidR="002044D7" w:rsidRPr="68F6E697">
        <w:rPr>
          <w:rFonts w:ascii="Arial" w:hAnsi="Arial" w:cs="Arial"/>
        </w:rPr>
        <w:t>s of events</w:t>
      </w:r>
      <w:r w:rsidR="003F123F" w:rsidRPr="68F6E697">
        <w:rPr>
          <w:rFonts w:ascii="Arial" w:hAnsi="Arial" w:cs="Arial"/>
        </w:rPr>
        <w:t xml:space="preserve"> </w:t>
      </w:r>
      <w:r w:rsidR="00D31CD0" w:rsidRPr="68F6E697">
        <w:rPr>
          <w:rFonts w:ascii="Arial" w:hAnsi="Arial" w:cs="Arial"/>
        </w:rPr>
        <w:t xml:space="preserve">may </w:t>
      </w:r>
      <w:r w:rsidR="00442FCC" w:rsidRPr="68F6E697">
        <w:rPr>
          <w:rFonts w:ascii="Arial" w:hAnsi="Arial" w:cs="Arial"/>
        </w:rPr>
        <w:t>take place across the organization.</w:t>
      </w:r>
      <w:r w:rsidR="00E94D3D">
        <w:t xml:space="preserve"> </w:t>
      </w:r>
      <w:r w:rsidR="0065759A" w:rsidRPr="68F6E697">
        <w:rPr>
          <w:rFonts w:ascii="Arial" w:hAnsi="Arial" w:cs="Arial"/>
        </w:rPr>
        <w:t>All</w:t>
      </w:r>
      <w:r w:rsidR="00E94D3D" w:rsidRPr="68F6E697">
        <w:rPr>
          <w:rFonts w:ascii="Arial" w:hAnsi="Arial" w:cs="Arial"/>
        </w:rPr>
        <w:t xml:space="preserve"> the above-described mechanisms contribute to the dispersion and accumulation of small wins. The robustness mechanism means that when small wins become numerous, they may be more likely to result in sustained change</w:t>
      </w:r>
      <w:r w:rsidR="002044D7" w:rsidRPr="68F6E697">
        <w:rPr>
          <w:rFonts w:ascii="Arial" w:hAnsi="Arial" w:cs="Arial"/>
        </w:rPr>
        <w:t>s</w:t>
      </w:r>
      <w:r w:rsidR="00E94D3D" w:rsidRPr="68F6E697">
        <w:rPr>
          <w:rFonts w:ascii="Arial" w:hAnsi="Arial" w:cs="Arial"/>
        </w:rPr>
        <w:t xml:space="preserve"> or desired path dependencies (Levin et al., 2012).</w:t>
      </w:r>
      <w:r w:rsidR="0009684D" w:rsidRPr="68F6E697">
        <w:rPr>
          <w:rFonts w:ascii="Arial" w:hAnsi="Arial" w:cs="Arial"/>
        </w:rPr>
        <w:t xml:space="preserve"> In due time, people may gain confidence in the positive effects, thereby contributing to widespread acceptance (Reay et al., 2006; Rogers, 2003).</w:t>
      </w:r>
    </w:p>
    <w:p w14:paraId="2AB41DC0" w14:textId="4917426C" w:rsidR="00FF258F" w:rsidRPr="002E018D" w:rsidRDefault="00FF258F" w:rsidP="004F79B0">
      <w:pPr>
        <w:spacing w:after="240" w:line="288" w:lineRule="auto"/>
        <w:rPr>
          <w:rFonts w:ascii="Arial" w:hAnsi="Arial" w:cs="Arial"/>
        </w:rPr>
      </w:pPr>
      <w:r>
        <w:rPr>
          <w:noProof/>
        </w:rPr>
        <w:lastRenderedPageBreak/>
        <w:drawing>
          <wp:inline distT="0" distB="0" distL="0" distR="0" wp14:anchorId="0F51A798" wp14:editId="22B4E692">
            <wp:extent cx="5943600" cy="3343910"/>
            <wp:effectExtent l="0" t="0" r="0" b="889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5943600" cy="3343910"/>
                    </a:xfrm>
                    <a:prstGeom prst="rect">
                      <a:avLst/>
                    </a:prstGeom>
                  </pic:spPr>
                </pic:pic>
              </a:graphicData>
            </a:graphic>
          </wp:inline>
        </w:drawing>
      </w:r>
    </w:p>
    <w:p w14:paraId="341BD120" w14:textId="047010B0" w:rsidR="000F27ED" w:rsidRPr="002E018D" w:rsidRDefault="001874B1" w:rsidP="004F79B0">
      <w:pPr>
        <w:spacing w:after="240" w:line="288" w:lineRule="auto"/>
        <w:rPr>
          <w:rFonts w:ascii="Arial" w:hAnsi="Arial" w:cs="Arial"/>
        </w:rPr>
      </w:pPr>
      <w:r w:rsidRPr="002E018D">
        <w:rPr>
          <w:rFonts w:ascii="Arial" w:hAnsi="Arial" w:cs="Arial"/>
        </w:rPr>
        <w:t xml:space="preserve">The </w:t>
      </w:r>
      <w:r w:rsidR="005C22D0" w:rsidRPr="002E018D">
        <w:rPr>
          <w:rFonts w:ascii="Arial" w:hAnsi="Arial" w:cs="Arial"/>
        </w:rPr>
        <w:t xml:space="preserve">small wins </w:t>
      </w:r>
      <w:r w:rsidR="00D31CD0" w:rsidRPr="002E018D">
        <w:rPr>
          <w:rFonts w:ascii="Arial" w:hAnsi="Arial" w:cs="Arial"/>
        </w:rPr>
        <w:t>framework</w:t>
      </w:r>
      <w:r w:rsidR="00D31CD0">
        <w:rPr>
          <w:rFonts w:ascii="Arial" w:hAnsi="Arial" w:cs="Arial"/>
        </w:rPr>
        <w:t>’</w:t>
      </w:r>
      <w:r w:rsidR="00D31CD0" w:rsidRPr="002E018D">
        <w:rPr>
          <w:rFonts w:ascii="Arial" w:hAnsi="Arial" w:cs="Arial"/>
        </w:rPr>
        <w:t xml:space="preserve">s </w:t>
      </w:r>
      <w:r w:rsidR="005C22D0" w:rsidRPr="002E018D">
        <w:rPr>
          <w:rFonts w:ascii="Arial" w:hAnsi="Arial" w:cs="Arial"/>
        </w:rPr>
        <w:t xml:space="preserve">final step </w:t>
      </w:r>
      <w:r w:rsidR="002044D7">
        <w:rPr>
          <w:rFonts w:ascii="Arial" w:hAnsi="Arial" w:cs="Arial"/>
        </w:rPr>
        <w:t>involves</w:t>
      </w:r>
      <w:r w:rsidR="002044D7" w:rsidRPr="002E018D">
        <w:rPr>
          <w:rFonts w:ascii="Arial" w:hAnsi="Arial" w:cs="Arial"/>
        </w:rPr>
        <w:t xml:space="preserve"> </w:t>
      </w:r>
      <w:r w:rsidR="005C22D0" w:rsidRPr="002E018D">
        <w:rPr>
          <w:rFonts w:ascii="Arial" w:hAnsi="Arial" w:cs="Arial"/>
        </w:rPr>
        <w:t>organizing or embedding your victories into organizational or societal policies, processes, practices,</w:t>
      </w:r>
      <w:r w:rsidR="001A0A02" w:rsidRPr="002E018D">
        <w:rPr>
          <w:rFonts w:ascii="Arial" w:hAnsi="Arial" w:cs="Arial"/>
        </w:rPr>
        <w:t xml:space="preserve"> and cultures. </w:t>
      </w:r>
      <w:r w:rsidR="002044D7">
        <w:rPr>
          <w:rFonts w:ascii="Arial" w:hAnsi="Arial" w:cs="Arial"/>
        </w:rPr>
        <w:t>The question r</w:t>
      </w:r>
      <w:r w:rsidR="002044D7" w:rsidRPr="002E018D">
        <w:rPr>
          <w:rFonts w:ascii="Arial" w:hAnsi="Arial" w:cs="Arial"/>
        </w:rPr>
        <w:t xml:space="preserve">egarding </w:t>
      </w:r>
      <w:r w:rsidR="0038368A" w:rsidRPr="002E018D">
        <w:rPr>
          <w:rFonts w:ascii="Arial" w:hAnsi="Arial" w:cs="Arial"/>
        </w:rPr>
        <w:t xml:space="preserve">policies is </w:t>
      </w:r>
      <w:r w:rsidR="005C22D0" w:rsidRPr="002E018D">
        <w:rPr>
          <w:rFonts w:ascii="Arial" w:hAnsi="Arial" w:cs="Arial"/>
        </w:rPr>
        <w:t>whether this small win makes</w:t>
      </w:r>
      <w:r w:rsidR="00C60D69" w:rsidRPr="002E018D">
        <w:rPr>
          <w:rFonts w:ascii="Arial" w:hAnsi="Arial" w:cs="Arial"/>
        </w:rPr>
        <w:t xml:space="preserve"> us rethink or re-examine policy. </w:t>
      </w:r>
      <w:r w:rsidR="002044D7">
        <w:rPr>
          <w:rFonts w:ascii="Arial" w:hAnsi="Arial" w:cs="Arial"/>
        </w:rPr>
        <w:t xml:space="preserve">For </w:t>
      </w:r>
      <w:r w:rsidR="00C60D69" w:rsidRPr="002E018D">
        <w:rPr>
          <w:rFonts w:ascii="Arial" w:hAnsi="Arial" w:cs="Arial"/>
        </w:rPr>
        <w:t xml:space="preserve">processes, </w:t>
      </w:r>
      <w:r w:rsidR="002044D7">
        <w:rPr>
          <w:rFonts w:ascii="Arial" w:hAnsi="Arial" w:cs="Arial"/>
        </w:rPr>
        <w:t xml:space="preserve">one could </w:t>
      </w:r>
      <w:r w:rsidR="00725084" w:rsidRPr="002E018D">
        <w:rPr>
          <w:rFonts w:ascii="Arial" w:hAnsi="Arial" w:cs="Arial"/>
        </w:rPr>
        <w:t xml:space="preserve">ask </w:t>
      </w:r>
      <w:r w:rsidR="002044D7">
        <w:rPr>
          <w:rFonts w:ascii="Arial" w:hAnsi="Arial" w:cs="Arial"/>
        </w:rPr>
        <w:t xml:space="preserve">whether </w:t>
      </w:r>
      <w:r w:rsidR="00725084" w:rsidRPr="002E018D">
        <w:rPr>
          <w:rFonts w:ascii="Arial" w:hAnsi="Arial" w:cs="Arial"/>
        </w:rPr>
        <w:t>the small win impact</w:t>
      </w:r>
      <w:r w:rsidR="005C22D0" w:rsidRPr="002E018D">
        <w:rPr>
          <w:rFonts w:ascii="Arial" w:hAnsi="Arial" w:cs="Arial"/>
        </w:rPr>
        <w:t>s</w:t>
      </w:r>
      <w:r w:rsidR="00725084" w:rsidRPr="002E018D">
        <w:rPr>
          <w:rFonts w:ascii="Arial" w:hAnsi="Arial" w:cs="Arial"/>
        </w:rPr>
        <w:t xml:space="preserve"> </w:t>
      </w:r>
      <w:r w:rsidR="002044D7">
        <w:rPr>
          <w:rFonts w:ascii="Arial" w:hAnsi="Arial" w:cs="Arial"/>
        </w:rPr>
        <w:t xml:space="preserve">the </w:t>
      </w:r>
      <w:r w:rsidR="00725084" w:rsidRPr="002E018D">
        <w:rPr>
          <w:rFonts w:ascii="Arial" w:hAnsi="Arial" w:cs="Arial"/>
        </w:rPr>
        <w:t xml:space="preserve">process owners. </w:t>
      </w:r>
      <w:r w:rsidR="002044D7">
        <w:rPr>
          <w:rFonts w:ascii="Arial" w:hAnsi="Arial" w:cs="Arial"/>
        </w:rPr>
        <w:t xml:space="preserve">With regard to </w:t>
      </w:r>
      <w:r w:rsidR="00725084" w:rsidRPr="002E018D">
        <w:rPr>
          <w:rFonts w:ascii="Arial" w:hAnsi="Arial" w:cs="Arial"/>
        </w:rPr>
        <w:t xml:space="preserve">practices, </w:t>
      </w:r>
      <w:r w:rsidR="002044D7">
        <w:rPr>
          <w:rFonts w:ascii="Arial" w:hAnsi="Arial" w:cs="Arial"/>
        </w:rPr>
        <w:t xml:space="preserve">it is important to assess </w:t>
      </w:r>
      <w:r w:rsidR="003B6AE2" w:rsidRPr="002E018D">
        <w:rPr>
          <w:rFonts w:ascii="Arial" w:hAnsi="Arial" w:cs="Arial"/>
        </w:rPr>
        <w:t>how the small win change</w:t>
      </w:r>
      <w:r w:rsidR="002044D7">
        <w:rPr>
          <w:rFonts w:ascii="Arial" w:hAnsi="Arial" w:cs="Arial"/>
        </w:rPr>
        <w:t>s</w:t>
      </w:r>
      <w:r w:rsidR="003B6AE2" w:rsidRPr="002E018D">
        <w:rPr>
          <w:rFonts w:ascii="Arial" w:hAnsi="Arial" w:cs="Arial"/>
        </w:rPr>
        <w:t xml:space="preserve"> behaviors, develop</w:t>
      </w:r>
      <w:r w:rsidR="002044D7">
        <w:rPr>
          <w:rFonts w:ascii="Arial" w:hAnsi="Arial" w:cs="Arial"/>
        </w:rPr>
        <w:t>s</w:t>
      </w:r>
      <w:r w:rsidR="003B6AE2" w:rsidRPr="002E018D">
        <w:rPr>
          <w:rFonts w:ascii="Arial" w:hAnsi="Arial" w:cs="Arial"/>
        </w:rPr>
        <w:t xml:space="preserve"> skills</w:t>
      </w:r>
      <w:r w:rsidR="00650E2F" w:rsidRPr="002E018D">
        <w:rPr>
          <w:rFonts w:ascii="Arial" w:hAnsi="Arial" w:cs="Arial"/>
        </w:rPr>
        <w:t>,</w:t>
      </w:r>
      <w:r w:rsidR="00290260" w:rsidRPr="002E018D">
        <w:rPr>
          <w:rFonts w:ascii="Arial" w:hAnsi="Arial" w:cs="Arial"/>
        </w:rPr>
        <w:t xml:space="preserve"> and establish</w:t>
      </w:r>
      <w:r w:rsidR="002044D7">
        <w:rPr>
          <w:rFonts w:ascii="Arial" w:hAnsi="Arial" w:cs="Arial"/>
        </w:rPr>
        <w:t>es</w:t>
      </w:r>
      <w:r w:rsidR="00290260" w:rsidRPr="002E018D">
        <w:rPr>
          <w:rFonts w:ascii="Arial" w:hAnsi="Arial" w:cs="Arial"/>
        </w:rPr>
        <w:t xml:space="preserve"> competencies. Finally, </w:t>
      </w:r>
      <w:r w:rsidR="002044D7">
        <w:rPr>
          <w:rFonts w:ascii="Arial" w:hAnsi="Arial" w:cs="Arial"/>
        </w:rPr>
        <w:t xml:space="preserve">one should analyze whether </w:t>
      </w:r>
      <w:r w:rsidR="000F27ED" w:rsidRPr="002E018D">
        <w:rPr>
          <w:rFonts w:ascii="Arial" w:hAnsi="Arial" w:cs="Arial"/>
        </w:rPr>
        <w:t xml:space="preserve">the small </w:t>
      </w:r>
      <w:r w:rsidR="00650E2F" w:rsidRPr="002E018D">
        <w:rPr>
          <w:rFonts w:ascii="Arial" w:hAnsi="Arial" w:cs="Arial"/>
        </w:rPr>
        <w:t xml:space="preserve">win </w:t>
      </w:r>
      <w:r w:rsidR="000F27ED" w:rsidRPr="002E018D">
        <w:rPr>
          <w:rFonts w:ascii="Arial" w:hAnsi="Arial" w:cs="Arial"/>
        </w:rPr>
        <w:t>challenge</w:t>
      </w:r>
      <w:r w:rsidR="002044D7">
        <w:rPr>
          <w:rFonts w:ascii="Arial" w:hAnsi="Arial" w:cs="Arial"/>
        </w:rPr>
        <w:t>s</w:t>
      </w:r>
      <w:r w:rsidR="000F27ED" w:rsidRPr="002E018D">
        <w:rPr>
          <w:rFonts w:ascii="Arial" w:hAnsi="Arial" w:cs="Arial"/>
        </w:rPr>
        <w:t xml:space="preserve"> or foster</w:t>
      </w:r>
      <w:r w:rsidR="002044D7">
        <w:rPr>
          <w:rFonts w:ascii="Arial" w:hAnsi="Arial" w:cs="Arial"/>
        </w:rPr>
        <w:t>s</w:t>
      </w:r>
      <w:r w:rsidR="000F27ED" w:rsidRPr="002E018D">
        <w:rPr>
          <w:rFonts w:ascii="Arial" w:hAnsi="Arial" w:cs="Arial"/>
        </w:rPr>
        <w:t xml:space="preserve"> new cultural symbols, stories</w:t>
      </w:r>
      <w:r w:rsidR="00650E2F" w:rsidRPr="002E018D">
        <w:rPr>
          <w:rFonts w:ascii="Arial" w:hAnsi="Arial" w:cs="Arial"/>
        </w:rPr>
        <w:t>,</w:t>
      </w:r>
      <w:r w:rsidR="000F27ED" w:rsidRPr="002E018D">
        <w:rPr>
          <w:rFonts w:ascii="Arial" w:hAnsi="Arial" w:cs="Arial"/>
        </w:rPr>
        <w:t xml:space="preserve"> or rituals.</w:t>
      </w:r>
    </w:p>
    <w:p w14:paraId="407E706A" w14:textId="4B65154A" w:rsidR="00FA5D50" w:rsidRPr="002E018D" w:rsidRDefault="002044D7" w:rsidP="004F79B0">
      <w:pPr>
        <w:spacing w:after="240" w:line="288" w:lineRule="auto"/>
        <w:rPr>
          <w:rFonts w:ascii="Arial" w:hAnsi="Arial" w:cs="Arial"/>
        </w:rPr>
      </w:pPr>
      <w:r>
        <w:rPr>
          <w:rFonts w:ascii="Arial" w:hAnsi="Arial" w:cs="Arial"/>
        </w:rPr>
        <w:t xml:space="preserve">Today, </w:t>
      </w:r>
      <w:r w:rsidR="00FA5D50" w:rsidRPr="002E018D">
        <w:rPr>
          <w:rFonts w:ascii="Arial" w:hAnsi="Arial" w:cs="Arial"/>
        </w:rPr>
        <w:t>Americans are grappling with unprecedented stress and anxiety generated by t</w:t>
      </w:r>
      <w:r w:rsidR="00B91785" w:rsidRPr="002E018D">
        <w:rPr>
          <w:rFonts w:ascii="Arial" w:hAnsi="Arial" w:cs="Arial"/>
        </w:rPr>
        <w:t>hree</w:t>
      </w:r>
      <w:r w:rsidR="00FA5D50" w:rsidRPr="002E018D">
        <w:rPr>
          <w:rFonts w:ascii="Arial" w:hAnsi="Arial" w:cs="Arial"/>
        </w:rPr>
        <w:t xml:space="preserve"> crises: the global pandemic</w:t>
      </w:r>
      <w:r w:rsidR="00B91785" w:rsidRPr="002E018D">
        <w:rPr>
          <w:rFonts w:ascii="Arial" w:hAnsi="Arial" w:cs="Arial"/>
        </w:rPr>
        <w:t>, political unrest</w:t>
      </w:r>
      <w:r w:rsidR="00650E2F" w:rsidRPr="002E018D">
        <w:rPr>
          <w:rFonts w:ascii="Arial" w:hAnsi="Arial" w:cs="Arial"/>
        </w:rPr>
        <w:t>,</w:t>
      </w:r>
      <w:r w:rsidR="00FA5D50" w:rsidRPr="002E018D">
        <w:rPr>
          <w:rFonts w:ascii="Arial" w:hAnsi="Arial" w:cs="Arial"/>
        </w:rPr>
        <w:t xml:space="preserve"> and unchecked systemic racism. The complexities of these </w:t>
      </w:r>
      <w:r w:rsidR="00B91785" w:rsidRPr="002E018D">
        <w:rPr>
          <w:rFonts w:ascii="Arial" w:hAnsi="Arial" w:cs="Arial"/>
        </w:rPr>
        <w:t>three</w:t>
      </w:r>
      <w:r w:rsidR="00FA5D50" w:rsidRPr="002E018D">
        <w:rPr>
          <w:rFonts w:ascii="Arial" w:hAnsi="Arial" w:cs="Arial"/>
        </w:rPr>
        <w:t xml:space="preserve"> social issues are vast. Some </w:t>
      </w:r>
      <w:r w:rsidR="007D26AA" w:rsidRPr="002E018D">
        <w:rPr>
          <w:rFonts w:ascii="Arial" w:hAnsi="Arial" w:cs="Arial"/>
        </w:rPr>
        <w:t xml:space="preserve">individuals </w:t>
      </w:r>
      <w:r w:rsidR="00FA5D50" w:rsidRPr="002E018D">
        <w:rPr>
          <w:rFonts w:ascii="Arial" w:hAnsi="Arial" w:cs="Arial"/>
        </w:rPr>
        <w:t xml:space="preserve">have </w:t>
      </w:r>
      <w:r>
        <w:rPr>
          <w:rFonts w:ascii="Arial" w:hAnsi="Arial" w:cs="Arial"/>
        </w:rPr>
        <w:t xml:space="preserve">underscored </w:t>
      </w:r>
      <w:r w:rsidR="00FA5D50" w:rsidRPr="002E018D">
        <w:rPr>
          <w:rFonts w:ascii="Arial" w:hAnsi="Arial" w:cs="Arial"/>
        </w:rPr>
        <w:t xml:space="preserve">the desperate need for bold action to address institutional, structural, and systemic racism. Fueled by hope, you might be looking for your </w:t>
      </w:r>
      <w:r w:rsidRPr="002E018D">
        <w:rPr>
          <w:rFonts w:ascii="Arial" w:hAnsi="Arial" w:cs="Arial"/>
        </w:rPr>
        <w:t>organization</w:t>
      </w:r>
      <w:r>
        <w:rPr>
          <w:rFonts w:ascii="Arial" w:hAnsi="Arial" w:cs="Arial"/>
        </w:rPr>
        <w:t>’</w:t>
      </w:r>
      <w:r w:rsidRPr="002E018D">
        <w:rPr>
          <w:rFonts w:ascii="Arial" w:hAnsi="Arial" w:cs="Arial"/>
        </w:rPr>
        <w:t xml:space="preserve">s </w:t>
      </w:r>
      <w:r w:rsidR="00FA5D50" w:rsidRPr="002E018D">
        <w:rPr>
          <w:rFonts w:ascii="Arial" w:hAnsi="Arial" w:cs="Arial"/>
        </w:rPr>
        <w:t xml:space="preserve">next </w:t>
      </w:r>
      <w:r>
        <w:rPr>
          <w:rFonts w:ascii="Arial" w:hAnsi="Arial" w:cs="Arial"/>
        </w:rPr>
        <w:t>“</w:t>
      </w:r>
      <w:r w:rsidR="00FA5D50" w:rsidRPr="002E018D">
        <w:rPr>
          <w:rFonts w:ascii="Arial" w:hAnsi="Arial" w:cs="Arial"/>
        </w:rPr>
        <w:t>big win</w:t>
      </w:r>
      <w:r w:rsidRPr="002E018D">
        <w:rPr>
          <w:rFonts w:ascii="Arial" w:hAnsi="Arial" w:cs="Arial"/>
        </w:rPr>
        <w:t>,</w:t>
      </w:r>
      <w:r>
        <w:rPr>
          <w:rFonts w:ascii="Arial" w:hAnsi="Arial" w:cs="Arial"/>
        </w:rPr>
        <w:t>”</w:t>
      </w:r>
      <w:r w:rsidRPr="002E018D">
        <w:rPr>
          <w:rFonts w:ascii="Arial" w:hAnsi="Arial" w:cs="Arial"/>
        </w:rPr>
        <w:t xml:space="preserve"> </w:t>
      </w:r>
      <w:r w:rsidR="00FA5D50" w:rsidRPr="002E018D">
        <w:rPr>
          <w:rFonts w:ascii="Arial" w:hAnsi="Arial" w:cs="Arial"/>
        </w:rPr>
        <w:t xml:space="preserve">a bold new idea that proclaims </w:t>
      </w:r>
      <w:r>
        <w:rPr>
          <w:rFonts w:ascii="Arial" w:hAnsi="Arial" w:cs="Arial"/>
        </w:rPr>
        <w:t xml:space="preserve">that </w:t>
      </w:r>
      <w:r w:rsidR="00FA5D50" w:rsidRPr="002E018D">
        <w:rPr>
          <w:rFonts w:ascii="Arial" w:hAnsi="Arial" w:cs="Arial"/>
        </w:rPr>
        <w:t>your mission is alive and well</w:t>
      </w:r>
      <w:r w:rsidR="00AE2E3D">
        <w:rPr>
          <w:rFonts w:ascii="Arial" w:hAnsi="Arial" w:cs="Arial"/>
        </w:rPr>
        <w:t>,</w:t>
      </w:r>
      <w:r>
        <w:rPr>
          <w:rFonts w:ascii="Arial" w:hAnsi="Arial" w:cs="Arial"/>
        </w:rPr>
        <w:t xml:space="preserve"> or </w:t>
      </w:r>
      <w:r w:rsidR="00FA5D50" w:rsidRPr="002E018D">
        <w:rPr>
          <w:rFonts w:ascii="Arial" w:hAnsi="Arial" w:cs="Arial"/>
        </w:rPr>
        <w:t xml:space="preserve">a grand gesture to say, </w:t>
      </w:r>
      <w:r>
        <w:rPr>
          <w:rFonts w:ascii="Arial" w:hAnsi="Arial" w:cs="Arial"/>
        </w:rPr>
        <w:t>“</w:t>
      </w:r>
      <w:r w:rsidRPr="002E018D">
        <w:rPr>
          <w:rFonts w:ascii="Arial" w:hAnsi="Arial" w:cs="Arial"/>
        </w:rPr>
        <w:t>We</w:t>
      </w:r>
      <w:r>
        <w:rPr>
          <w:rFonts w:ascii="Arial" w:hAnsi="Arial" w:cs="Arial"/>
        </w:rPr>
        <w:t>’</w:t>
      </w:r>
      <w:r w:rsidRPr="002E018D">
        <w:rPr>
          <w:rFonts w:ascii="Arial" w:hAnsi="Arial" w:cs="Arial"/>
        </w:rPr>
        <w:t xml:space="preserve">re </w:t>
      </w:r>
      <w:r w:rsidR="00FA5D50" w:rsidRPr="002E018D">
        <w:rPr>
          <w:rFonts w:ascii="Arial" w:hAnsi="Arial" w:cs="Arial"/>
        </w:rPr>
        <w:t xml:space="preserve">back, and </w:t>
      </w:r>
      <w:r w:rsidRPr="002E018D">
        <w:rPr>
          <w:rFonts w:ascii="Arial" w:hAnsi="Arial" w:cs="Arial"/>
        </w:rPr>
        <w:t>we</w:t>
      </w:r>
      <w:r>
        <w:rPr>
          <w:rFonts w:ascii="Arial" w:hAnsi="Arial" w:cs="Arial"/>
        </w:rPr>
        <w:t>’</w:t>
      </w:r>
      <w:r w:rsidRPr="002E018D">
        <w:rPr>
          <w:rFonts w:ascii="Arial" w:hAnsi="Arial" w:cs="Arial"/>
        </w:rPr>
        <w:t xml:space="preserve">re </w:t>
      </w:r>
      <w:r w:rsidR="00FA5D50" w:rsidRPr="002E018D">
        <w:rPr>
          <w:rFonts w:ascii="Arial" w:hAnsi="Arial" w:cs="Arial"/>
        </w:rPr>
        <w:t>ok</w:t>
      </w:r>
      <w:r w:rsidRPr="002E018D">
        <w:rPr>
          <w:rFonts w:ascii="Arial" w:hAnsi="Arial" w:cs="Arial"/>
        </w:rPr>
        <w:t>.</w:t>
      </w:r>
      <w:r>
        <w:rPr>
          <w:rFonts w:ascii="Arial" w:hAnsi="Arial" w:cs="Arial"/>
        </w:rPr>
        <w:t>”</w:t>
      </w:r>
      <w:r w:rsidRPr="002E018D">
        <w:rPr>
          <w:rFonts w:ascii="Arial" w:hAnsi="Arial" w:cs="Arial"/>
        </w:rPr>
        <w:t xml:space="preserve"> </w:t>
      </w:r>
      <w:r w:rsidR="00FA5D50" w:rsidRPr="002E018D">
        <w:rPr>
          <w:rFonts w:ascii="Arial" w:hAnsi="Arial" w:cs="Arial"/>
        </w:rPr>
        <w:t xml:space="preserve">But you may be feeling hesitant, believing that you </w:t>
      </w:r>
      <w:r w:rsidR="0065759A" w:rsidRPr="002E018D">
        <w:rPr>
          <w:rFonts w:ascii="Arial" w:hAnsi="Arial" w:cs="Arial"/>
        </w:rPr>
        <w:t>do not</w:t>
      </w:r>
      <w:r w:rsidR="00FA5D50" w:rsidRPr="002E018D">
        <w:rPr>
          <w:rFonts w:ascii="Arial" w:hAnsi="Arial" w:cs="Arial"/>
        </w:rPr>
        <w:t xml:space="preserve"> have the resources to </w:t>
      </w:r>
      <w:r>
        <w:rPr>
          <w:rFonts w:ascii="Arial" w:hAnsi="Arial" w:cs="Arial"/>
        </w:rPr>
        <w:t>“</w:t>
      </w:r>
      <w:r w:rsidR="00FA5D50" w:rsidRPr="002E018D">
        <w:rPr>
          <w:rFonts w:ascii="Arial" w:hAnsi="Arial" w:cs="Arial"/>
        </w:rPr>
        <w:t>go big or go home</w:t>
      </w:r>
      <w:r w:rsidRPr="002E018D">
        <w:rPr>
          <w:rFonts w:ascii="Arial" w:hAnsi="Arial" w:cs="Arial"/>
        </w:rPr>
        <w:t>.</w:t>
      </w:r>
      <w:r>
        <w:rPr>
          <w:rFonts w:ascii="Arial" w:hAnsi="Arial" w:cs="Arial"/>
        </w:rPr>
        <w:t>”</w:t>
      </w:r>
      <w:r w:rsidRPr="002E018D">
        <w:rPr>
          <w:rFonts w:ascii="Arial" w:hAnsi="Arial" w:cs="Arial"/>
        </w:rPr>
        <w:t xml:space="preserve"> </w:t>
      </w:r>
      <w:r w:rsidR="00A950A4" w:rsidRPr="002E018D">
        <w:rPr>
          <w:rFonts w:ascii="Arial" w:hAnsi="Arial" w:cs="Arial"/>
        </w:rPr>
        <w:t xml:space="preserve">The desire to rush to aid the cause, heal the wounds, and take bold actions is more than palpable. </w:t>
      </w:r>
      <w:r w:rsidR="00822807" w:rsidRPr="002E018D">
        <w:rPr>
          <w:rFonts w:ascii="Arial" w:hAnsi="Arial" w:cs="Arial"/>
        </w:rPr>
        <w:t xml:space="preserve">Small wins suggest </w:t>
      </w:r>
      <w:r w:rsidR="00FA5D50" w:rsidRPr="002E018D">
        <w:rPr>
          <w:rFonts w:ascii="Arial" w:hAnsi="Arial" w:cs="Arial"/>
        </w:rPr>
        <w:t xml:space="preserve">a different approach: stack up the small wins. </w:t>
      </w:r>
    </w:p>
    <w:p w14:paraId="68E280E1" w14:textId="65AFEBD1" w:rsidR="00C93959" w:rsidRPr="002E018D" w:rsidRDefault="00C93959" w:rsidP="004F79B0">
      <w:pPr>
        <w:spacing w:after="240" w:line="288" w:lineRule="auto"/>
        <w:rPr>
          <w:rFonts w:ascii="Arial" w:hAnsi="Arial" w:cs="Arial"/>
        </w:rPr>
      </w:pPr>
      <w:r w:rsidRPr="002E018D">
        <w:rPr>
          <w:rFonts w:ascii="Arial" w:hAnsi="Arial" w:cs="Arial"/>
        </w:rPr>
        <w:t xml:space="preserve">Let us walk </w:t>
      </w:r>
      <w:r w:rsidR="002044D7">
        <w:rPr>
          <w:rFonts w:ascii="Arial" w:hAnsi="Arial" w:cs="Arial"/>
        </w:rPr>
        <w:t xml:space="preserve">through </w:t>
      </w:r>
      <w:r w:rsidRPr="002E018D">
        <w:rPr>
          <w:rFonts w:ascii="Arial" w:hAnsi="Arial" w:cs="Arial"/>
        </w:rPr>
        <w:t>an example through the framework.</w:t>
      </w:r>
    </w:p>
    <w:tbl>
      <w:tblPr>
        <w:tblStyle w:val="TableGrid"/>
        <w:tblW w:w="0" w:type="auto"/>
        <w:tblLook w:val="04A0" w:firstRow="1" w:lastRow="0" w:firstColumn="1" w:lastColumn="0" w:noHBand="0" w:noVBand="1"/>
      </w:tblPr>
      <w:tblGrid>
        <w:gridCol w:w="4945"/>
        <w:gridCol w:w="1260"/>
        <w:gridCol w:w="900"/>
        <w:gridCol w:w="1080"/>
        <w:gridCol w:w="1165"/>
      </w:tblGrid>
      <w:tr w:rsidR="00BD7B4B" w:rsidRPr="002E018D" w14:paraId="638BAF41" w14:textId="77777777" w:rsidTr="68F6E697">
        <w:tc>
          <w:tcPr>
            <w:tcW w:w="4945" w:type="dxa"/>
            <w:shd w:val="clear" w:color="auto" w:fill="002060"/>
          </w:tcPr>
          <w:p w14:paraId="3AB2CE5B" w14:textId="0DEA648A" w:rsidR="00BD7B4B" w:rsidRPr="002E018D" w:rsidRDefault="5DA2659C" w:rsidP="00224175">
            <w:pPr>
              <w:rPr>
                <w:rFonts w:ascii="Arial" w:hAnsi="Arial" w:cs="Arial"/>
                <w:b/>
                <w:bCs/>
                <w:sz w:val="16"/>
                <w:szCs w:val="16"/>
              </w:rPr>
            </w:pPr>
            <w:r w:rsidRPr="68F6E697">
              <w:rPr>
                <w:rFonts w:ascii="Arial" w:hAnsi="Arial" w:cs="Arial"/>
                <w:b/>
                <w:bCs/>
                <w:sz w:val="16"/>
                <w:szCs w:val="16"/>
              </w:rPr>
              <w:t>Action</w:t>
            </w:r>
            <w:r w:rsidR="4313CAFD" w:rsidRPr="68F6E697">
              <w:rPr>
                <w:rFonts w:ascii="Arial" w:hAnsi="Arial" w:cs="Arial"/>
                <w:b/>
                <w:bCs/>
                <w:sz w:val="16"/>
                <w:szCs w:val="16"/>
              </w:rPr>
              <w:t xml:space="preserve"> Items</w:t>
            </w:r>
          </w:p>
        </w:tc>
        <w:tc>
          <w:tcPr>
            <w:tcW w:w="1260" w:type="dxa"/>
            <w:shd w:val="clear" w:color="auto" w:fill="002060"/>
          </w:tcPr>
          <w:p w14:paraId="69073C64" w14:textId="77777777" w:rsidR="00BD7B4B" w:rsidRPr="002E018D" w:rsidRDefault="00482032" w:rsidP="00224175">
            <w:pPr>
              <w:jc w:val="center"/>
              <w:rPr>
                <w:rFonts w:ascii="Arial" w:hAnsi="Arial" w:cs="Arial"/>
                <w:b/>
                <w:bCs/>
                <w:sz w:val="16"/>
                <w:szCs w:val="16"/>
              </w:rPr>
            </w:pPr>
            <w:r w:rsidRPr="002E018D">
              <w:rPr>
                <w:rFonts w:ascii="Arial" w:hAnsi="Arial" w:cs="Arial"/>
                <w:b/>
                <w:bCs/>
                <w:sz w:val="16"/>
                <w:szCs w:val="16"/>
              </w:rPr>
              <w:t>Step 1</w:t>
            </w:r>
          </w:p>
          <w:p w14:paraId="78A34C9A" w14:textId="6BC7901F" w:rsidR="00F107A5" w:rsidRPr="002E018D" w:rsidRDefault="00F107A5" w:rsidP="00224175">
            <w:pPr>
              <w:jc w:val="center"/>
              <w:rPr>
                <w:rFonts w:ascii="Arial" w:hAnsi="Arial" w:cs="Arial"/>
                <w:b/>
                <w:bCs/>
                <w:sz w:val="16"/>
                <w:szCs w:val="16"/>
              </w:rPr>
            </w:pPr>
            <w:r w:rsidRPr="002E018D">
              <w:rPr>
                <w:rFonts w:ascii="Arial" w:hAnsi="Arial" w:cs="Arial"/>
                <w:b/>
                <w:bCs/>
                <w:sz w:val="16"/>
                <w:szCs w:val="16"/>
              </w:rPr>
              <w:t>(Y/N)</w:t>
            </w:r>
          </w:p>
        </w:tc>
        <w:tc>
          <w:tcPr>
            <w:tcW w:w="900" w:type="dxa"/>
            <w:shd w:val="clear" w:color="auto" w:fill="002060"/>
          </w:tcPr>
          <w:p w14:paraId="3E101B74" w14:textId="77777777" w:rsidR="00BD7B4B" w:rsidRPr="002E018D" w:rsidRDefault="00482032" w:rsidP="00224175">
            <w:pPr>
              <w:jc w:val="center"/>
              <w:rPr>
                <w:rFonts w:ascii="Arial" w:hAnsi="Arial" w:cs="Arial"/>
                <w:b/>
                <w:bCs/>
                <w:sz w:val="16"/>
                <w:szCs w:val="16"/>
              </w:rPr>
            </w:pPr>
            <w:r w:rsidRPr="002E018D">
              <w:rPr>
                <w:rFonts w:ascii="Arial" w:hAnsi="Arial" w:cs="Arial"/>
                <w:b/>
                <w:bCs/>
                <w:sz w:val="16"/>
                <w:szCs w:val="16"/>
              </w:rPr>
              <w:t>Step 2</w:t>
            </w:r>
          </w:p>
          <w:p w14:paraId="2BBE9E17" w14:textId="2D54054D" w:rsidR="00F107A5" w:rsidRPr="002E018D" w:rsidRDefault="00F107A5" w:rsidP="00224175">
            <w:pPr>
              <w:jc w:val="center"/>
              <w:rPr>
                <w:rFonts w:ascii="Arial" w:hAnsi="Arial" w:cs="Arial"/>
                <w:b/>
                <w:bCs/>
                <w:sz w:val="16"/>
                <w:szCs w:val="16"/>
              </w:rPr>
            </w:pPr>
            <w:r w:rsidRPr="002E018D">
              <w:rPr>
                <w:rFonts w:ascii="Arial" w:hAnsi="Arial" w:cs="Arial"/>
                <w:b/>
                <w:bCs/>
                <w:sz w:val="16"/>
                <w:szCs w:val="16"/>
              </w:rPr>
              <w:t>(Y/N)</w:t>
            </w:r>
          </w:p>
        </w:tc>
        <w:tc>
          <w:tcPr>
            <w:tcW w:w="1080" w:type="dxa"/>
            <w:shd w:val="clear" w:color="auto" w:fill="002060"/>
          </w:tcPr>
          <w:p w14:paraId="42DD6819" w14:textId="77777777" w:rsidR="00BD7B4B" w:rsidRPr="002E018D" w:rsidRDefault="00482032" w:rsidP="00224175">
            <w:pPr>
              <w:jc w:val="center"/>
              <w:rPr>
                <w:rFonts w:ascii="Arial" w:hAnsi="Arial" w:cs="Arial"/>
                <w:b/>
                <w:bCs/>
                <w:sz w:val="16"/>
                <w:szCs w:val="16"/>
              </w:rPr>
            </w:pPr>
            <w:r w:rsidRPr="002E018D">
              <w:rPr>
                <w:rFonts w:ascii="Arial" w:hAnsi="Arial" w:cs="Arial"/>
                <w:b/>
                <w:bCs/>
                <w:sz w:val="16"/>
                <w:szCs w:val="16"/>
              </w:rPr>
              <w:t>Step 3</w:t>
            </w:r>
          </w:p>
          <w:p w14:paraId="4AC3B2CB" w14:textId="422CDA88" w:rsidR="005308F8" w:rsidRPr="002E018D" w:rsidRDefault="00F107A5" w:rsidP="00224175">
            <w:pPr>
              <w:jc w:val="center"/>
              <w:rPr>
                <w:rFonts w:ascii="Arial" w:hAnsi="Arial" w:cs="Arial"/>
                <w:b/>
                <w:bCs/>
                <w:sz w:val="16"/>
                <w:szCs w:val="16"/>
              </w:rPr>
            </w:pPr>
            <w:r w:rsidRPr="002E018D">
              <w:rPr>
                <w:rFonts w:ascii="Arial" w:hAnsi="Arial" w:cs="Arial"/>
                <w:b/>
                <w:bCs/>
                <w:sz w:val="16"/>
                <w:szCs w:val="16"/>
              </w:rPr>
              <w:t>(Y/N)</w:t>
            </w:r>
          </w:p>
        </w:tc>
        <w:tc>
          <w:tcPr>
            <w:tcW w:w="1165" w:type="dxa"/>
            <w:shd w:val="clear" w:color="auto" w:fill="002060"/>
          </w:tcPr>
          <w:p w14:paraId="1ABB1697" w14:textId="7BBAA85A" w:rsidR="00F107A5" w:rsidRPr="002E018D" w:rsidRDefault="005308F8" w:rsidP="00224175">
            <w:pPr>
              <w:jc w:val="center"/>
              <w:rPr>
                <w:rFonts w:ascii="Arial" w:hAnsi="Arial" w:cs="Arial"/>
                <w:b/>
                <w:bCs/>
                <w:sz w:val="16"/>
                <w:szCs w:val="16"/>
              </w:rPr>
            </w:pPr>
            <w:r w:rsidRPr="002E018D">
              <w:rPr>
                <w:rFonts w:ascii="Arial" w:hAnsi="Arial" w:cs="Arial"/>
                <w:b/>
                <w:bCs/>
                <w:sz w:val="16"/>
                <w:szCs w:val="16"/>
              </w:rPr>
              <w:t>Small Win</w:t>
            </w:r>
          </w:p>
          <w:p w14:paraId="50AEF8CD" w14:textId="4DC85D96" w:rsidR="00BD7B4B" w:rsidRPr="002E018D" w:rsidRDefault="005308F8" w:rsidP="00224175">
            <w:pPr>
              <w:jc w:val="center"/>
              <w:rPr>
                <w:rFonts w:ascii="Arial" w:hAnsi="Arial" w:cs="Arial"/>
                <w:b/>
                <w:bCs/>
                <w:sz w:val="16"/>
                <w:szCs w:val="16"/>
              </w:rPr>
            </w:pPr>
            <w:r w:rsidRPr="002E018D">
              <w:rPr>
                <w:rFonts w:ascii="Arial" w:hAnsi="Arial" w:cs="Arial"/>
                <w:b/>
                <w:bCs/>
                <w:sz w:val="16"/>
                <w:szCs w:val="16"/>
              </w:rPr>
              <w:t>(Y/N)</w:t>
            </w:r>
          </w:p>
        </w:tc>
      </w:tr>
      <w:tr w:rsidR="00F107A5" w:rsidRPr="002E018D" w14:paraId="418E0DD1" w14:textId="77777777" w:rsidTr="68F6E697">
        <w:trPr>
          <w:trHeight w:val="300"/>
        </w:trPr>
        <w:tc>
          <w:tcPr>
            <w:tcW w:w="4945" w:type="dxa"/>
          </w:tcPr>
          <w:p w14:paraId="4402CE0B" w14:textId="4A7A38A5" w:rsidR="00F107A5" w:rsidRPr="002E018D" w:rsidRDefault="0994122C" w:rsidP="00224175">
            <w:pPr>
              <w:rPr>
                <w:rFonts w:ascii="Arial" w:hAnsi="Arial" w:cs="Arial"/>
                <w:sz w:val="16"/>
                <w:szCs w:val="16"/>
              </w:rPr>
            </w:pPr>
            <w:r w:rsidRPr="68F6E697">
              <w:rPr>
                <w:rFonts w:ascii="Arial" w:hAnsi="Arial" w:cs="Arial"/>
                <w:sz w:val="16"/>
                <w:szCs w:val="16"/>
              </w:rPr>
              <w:t xml:space="preserve">1. </w:t>
            </w:r>
            <w:r w:rsidR="0982CB91" w:rsidRPr="68F6E697">
              <w:rPr>
                <w:rFonts w:ascii="Arial" w:hAnsi="Arial" w:cs="Arial"/>
                <w:sz w:val="16"/>
                <w:szCs w:val="16"/>
              </w:rPr>
              <w:t xml:space="preserve">Train all people managers on </w:t>
            </w:r>
            <w:r w:rsidR="2E4AF6B9" w:rsidRPr="68F6E697">
              <w:rPr>
                <w:rFonts w:ascii="Arial" w:hAnsi="Arial" w:cs="Arial"/>
                <w:sz w:val="16"/>
                <w:szCs w:val="16"/>
              </w:rPr>
              <w:t xml:space="preserve">our </w:t>
            </w:r>
            <w:r w:rsidR="0982CB91" w:rsidRPr="68F6E697">
              <w:rPr>
                <w:rFonts w:ascii="Arial" w:hAnsi="Arial" w:cs="Arial"/>
                <w:sz w:val="16"/>
                <w:szCs w:val="16"/>
              </w:rPr>
              <w:t>racial hiring goals.</w:t>
            </w:r>
          </w:p>
        </w:tc>
        <w:tc>
          <w:tcPr>
            <w:tcW w:w="1260" w:type="dxa"/>
          </w:tcPr>
          <w:p w14:paraId="3AA743A1" w14:textId="46F8DA1D" w:rsidR="00F107A5" w:rsidRPr="002E018D" w:rsidRDefault="39C8A990" w:rsidP="00224175">
            <w:pPr>
              <w:jc w:val="center"/>
              <w:rPr>
                <w:rFonts w:ascii="Arial" w:hAnsi="Arial" w:cs="Arial"/>
                <w:sz w:val="16"/>
                <w:szCs w:val="16"/>
              </w:rPr>
            </w:pPr>
            <w:r w:rsidRPr="68F6E697">
              <w:rPr>
                <w:rFonts w:ascii="Arial" w:hAnsi="Arial" w:cs="Arial"/>
                <w:sz w:val="16"/>
                <w:szCs w:val="16"/>
              </w:rPr>
              <w:t>N</w:t>
            </w:r>
          </w:p>
        </w:tc>
        <w:tc>
          <w:tcPr>
            <w:tcW w:w="900" w:type="dxa"/>
          </w:tcPr>
          <w:p w14:paraId="3DDA43D7" w14:textId="31188CBE" w:rsidR="00F107A5" w:rsidRPr="002E018D" w:rsidRDefault="191B1C29" w:rsidP="00224175">
            <w:pPr>
              <w:jc w:val="center"/>
              <w:rPr>
                <w:rFonts w:ascii="Arial" w:hAnsi="Arial" w:cs="Arial"/>
                <w:sz w:val="16"/>
                <w:szCs w:val="16"/>
              </w:rPr>
            </w:pPr>
            <w:r w:rsidRPr="68F6E697">
              <w:rPr>
                <w:rFonts w:ascii="Arial" w:hAnsi="Arial" w:cs="Arial"/>
                <w:sz w:val="16"/>
                <w:szCs w:val="16"/>
              </w:rPr>
              <w:t>NA</w:t>
            </w:r>
          </w:p>
        </w:tc>
        <w:tc>
          <w:tcPr>
            <w:tcW w:w="1080" w:type="dxa"/>
          </w:tcPr>
          <w:p w14:paraId="79696C77" w14:textId="09DD93F1" w:rsidR="00F107A5" w:rsidRPr="002E018D" w:rsidRDefault="191B1C29" w:rsidP="00224175">
            <w:pPr>
              <w:jc w:val="center"/>
              <w:rPr>
                <w:rFonts w:ascii="Arial" w:hAnsi="Arial" w:cs="Arial"/>
                <w:sz w:val="16"/>
                <w:szCs w:val="16"/>
              </w:rPr>
            </w:pPr>
            <w:r w:rsidRPr="68F6E697">
              <w:rPr>
                <w:rFonts w:ascii="Arial" w:hAnsi="Arial" w:cs="Arial"/>
                <w:sz w:val="16"/>
                <w:szCs w:val="16"/>
              </w:rPr>
              <w:t>NA</w:t>
            </w:r>
          </w:p>
        </w:tc>
        <w:tc>
          <w:tcPr>
            <w:tcW w:w="1165" w:type="dxa"/>
          </w:tcPr>
          <w:p w14:paraId="5C72F782" w14:textId="29CDE115" w:rsidR="00F107A5" w:rsidRPr="002E018D" w:rsidRDefault="13744E54" w:rsidP="00224175">
            <w:pPr>
              <w:jc w:val="center"/>
              <w:rPr>
                <w:rFonts w:ascii="Arial" w:hAnsi="Arial" w:cs="Arial"/>
                <w:sz w:val="16"/>
                <w:szCs w:val="16"/>
              </w:rPr>
            </w:pPr>
            <w:r w:rsidRPr="68F6E697">
              <w:rPr>
                <w:rFonts w:ascii="Arial" w:hAnsi="Arial" w:cs="Arial"/>
                <w:sz w:val="16"/>
                <w:szCs w:val="16"/>
              </w:rPr>
              <w:t>N</w:t>
            </w:r>
          </w:p>
        </w:tc>
      </w:tr>
      <w:tr w:rsidR="00B7307A" w:rsidRPr="002E018D" w14:paraId="3E41BA15" w14:textId="77777777" w:rsidTr="68F6E697">
        <w:trPr>
          <w:trHeight w:val="269"/>
        </w:trPr>
        <w:tc>
          <w:tcPr>
            <w:tcW w:w="4945" w:type="dxa"/>
          </w:tcPr>
          <w:p w14:paraId="01E405D1" w14:textId="7FEE8FB2" w:rsidR="00B7307A" w:rsidRPr="002E018D" w:rsidRDefault="00194D63" w:rsidP="00224175">
            <w:pPr>
              <w:rPr>
                <w:rFonts w:ascii="Arial" w:hAnsi="Arial" w:cs="Arial"/>
                <w:sz w:val="16"/>
                <w:szCs w:val="16"/>
              </w:rPr>
            </w:pPr>
            <w:r>
              <w:rPr>
                <w:rFonts w:ascii="Arial" w:hAnsi="Arial" w:cs="Arial"/>
                <w:sz w:val="16"/>
                <w:szCs w:val="16"/>
              </w:rPr>
              <w:t xml:space="preserve">2. </w:t>
            </w:r>
            <w:r w:rsidR="009A7521" w:rsidRPr="002E018D">
              <w:rPr>
                <w:rFonts w:ascii="Arial" w:hAnsi="Arial" w:cs="Arial"/>
                <w:sz w:val="16"/>
                <w:szCs w:val="16"/>
              </w:rPr>
              <w:t>Find opportunities to sponsor or advocate stretch roles for Black, Indigenous, and People of Color (BIPOC)</w:t>
            </w:r>
            <w:r w:rsidR="00E07F53" w:rsidRPr="002E018D">
              <w:rPr>
                <w:rFonts w:ascii="Arial" w:hAnsi="Arial" w:cs="Arial"/>
                <w:sz w:val="16"/>
                <w:szCs w:val="16"/>
              </w:rPr>
              <w:t>.</w:t>
            </w:r>
          </w:p>
        </w:tc>
        <w:tc>
          <w:tcPr>
            <w:tcW w:w="1260" w:type="dxa"/>
          </w:tcPr>
          <w:p w14:paraId="23BFD5F4" w14:textId="7FD2073E" w:rsidR="00B7307A" w:rsidRPr="002E018D" w:rsidRDefault="50F16D5C" w:rsidP="00224175">
            <w:pPr>
              <w:jc w:val="center"/>
              <w:rPr>
                <w:rFonts w:ascii="Arial" w:hAnsi="Arial" w:cs="Arial"/>
                <w:sz w:val="16"/>
                <w:szCs w:val="16"/>
              </w:rPr>
            </w:pPr>
            <w:r w:rsidRPr="68F6E697">
              <w:rPr>
                <w:rFonts w:ascii="Arial" w:hAnsi="Arial" w:cs="Arial"/>
                <w:sz w:val="16"/>
                <w:szCs w:val="16"/>
              </w:rPr>
              <w:t>N</w:t>
            </w:r>
          </w:p>
        </w:tc>
        <w:tc>
          <w:tcPr>
            <w:tcW w:w="900" w:type="dxa"/>
          </w:tcPr>
          <w:p w14:paraId="117FBFDF" w14:textId="00A17498" w:rsidR="00B7307A" w:rsidRPr="002E018D" w:rsidRDefault="29B37D8B" w:rsidP="00224175">
            <w:pPr>
              <w:jc w:val="center"/>
              <w:rPr>
                <w:rFonts w:ascii="Arial" w:hAnsi="Arial" w:cs="Arial"/>
                <w:sz w:val="16"/>
                <w:szCs w:val="16"/>
              </w:rPr>
            </w:pPr>
            <w:r w:rsidRPr="68F6E697">
              <w:rPr>
                <w:rFonts w:ascii="Arial" w:hAnsi="Arial" w:cs="Arial"/>
                <w:sz w:val="16"/>
                <w:szCs w:val="16"/>
              </w:rPr>
              <w:t>NA</w:t>
            </w:r>
          </w:p>
        </w:tc>
        <w:tc>
          <w:tcPr>
            <w:tcW w:w="1080" w:type="dxa"/>
          </w:tcPr>
          <w:p w14:paraId="6CF08A67" w14:textId="6B7ED3E3" w:rsidR="00B7307A" w:rsidRPr="002E018D" w:rsidRDefault="36629683" w:rsidP="00224175">
            <w:pPr>
              <w:jc w:val="center"/>
              <w:rPr>
                <w:rFonts w:ascii="Arial" w:hAnsi="Arial" w:cs="Arial"/>
                <w:sz w:val="16"/>
                <w:szCs w:val="16"/>
              </w:rPr>
            </w:pPr>
            <w:r w:rsidRPr="68F6E697">
              <w:rPr>
                <w:rFonts w:ascii="Arial" w:hAnsi="Arial" w:cs="Arial"/>
                <w:sz w:val="16"/>
                <w:szCs w:val="16"/>
              </w:rPr>
              <w:t>NA</w:t>
            </w:r>
          </w:p>
        </w:tc>
        <w:tc>
          <w:tcPr>
            <w:tcW w:w="1165" w:type="dxa"/>
          </w:tcPr>
          <w:p w14:paraId="62FA7AB1" w14:textId="323E755B" w:rsidR="00B7307A" w:rsidRPr="002E018D" w:rsidRDefault="302745B5" w:rsidP="00224175">
            <w:pPr>
              <w:jc w:val="center"/>
              <w:rPr>
                <w:rFonts w:ascii="Arial" w:hAnsi="Arial" w:cs="Arial"/>
                <w:sz w:val="16"/>
                <w:szCs w:val="16"/>
              </w:rPr>
            </w:pPr>
            <w:r w:rsidRPr="68F6E697">
              <w:rPr>
                <w:rFonts w:ascii="Arial" w:hAnsi="Arial" w:cs="Arial"/>
                <w:sz w:val="16"/>
                <w:szCs w:val="16"/>
              </w:rPr>
              <w:t>N</w:t>
            </w:r>
          </w:p>
        </w:tc>
      </w:tr>
      <w:tr w:rsidR="009A7521" w:rsidRPr="002E018D" w14:paraId="3E8810CC" w14:textId="77777777" w:rsidTr="68F6E697">
        <w:trPr>
          <w:trHeight w:val="269"/>
        </w:trPr>
        <w:tc>
          <w:tcPr>
            <w:tcW w:w="4945" w:type="dxa"/>
          </w:tcPr>
          <w:p w14:paraId="70F73BB5" w14:textId="305F76B7" w:rsidR="009A7521" w:rsidRPr="002E018D" w:rsidRDefault="0994122C" w:rsidP="00224175">
            <w:pPr>
              <w:rPr>
                <w:rFonts w:ascii="Arial" w:hAnsi="Arial" w:cs="Arial"/>
                <w:sz w:val="16"/>
                <w:szCs w:val="16"/>
              </w:rPr>
            </w:pPr>
            <w:r w:rsidRPr="68F6E697">
              <w:rPr>
                <w:rFonts w:ascii="Arial" w:hAnsi="Arial" w:cs="Arial"/>
                <w:sz w:val="16"/>
                <w:szCs w:val="16"/>
              </w:rPr>
              <w:t xml:space="preserve">3. </w:t>
            </w:r>
            <w:r w:rsidR="2462E2E9" w:rsidRPr="68F6E697">
              <w:rPr>
                <w:rFonts w:ascii="Arial" w:hAnsi="Arial" w:cs="Arial"/>
                <w:sz w:val="16"/>
                <w:szCs w:val="16"/>
              </w:rPr>
              <w:t xml:space="preserve">Align </w:t>
            </w:r>
            <w:r w:rsidR="5A6B7C87" w:rsidRPr="68F6E697">
              <w:rPr>
                <w:rFonts w:ascii="Arial" w:hAnsi="Arial" w:cs="Arial"/>
                <w:sz w:val="16"/>
                <w:szCs w:val="16"/>
              </w:rPr>
              <w:t xml:space="preserve">employee </w:t>
            </w:r>
            <w:r w:rsidR="477FF99E" w:rsidRPr="68F6E697">
              <w:rPr>
                <w:rFonts w:ascii="Arial" w:hAnsi="Arial" w:cs="Arial"/>
                <w:sz w:val="16"/>
                <w:szCs w:val="16"/>
              </w:rPr>
              <w:t>equity</w:t>
            </w:r>
            <w:r w:rsidR="4181F7C6" w:rsidRPr="68F6E697">
              <w:rPr>
                <w:rFonts w:ascii="Arial" w:hAnsi="Arial" w:cs="Arial"/>
                <w:sz w:val="16"/>
                <w:szCs w:val="16"/>
              </w:rPr>
              <w:t xml:space="preserve"> t</w:t>
            </w:r>
            <w:r w:rsidR="0BCF5F51" w:rsidRPr="68F6E697">
              <w:rPr>
                <w:rFonts w:ascii="Arial" w:hAnsi="Arial" w:cs="Arial"/>
                <w:sz w:val="16"/>
                <w:szCs w:val="16"/>
              </w:rPr>
              <w:t xml:space="preserve">o </w:t>
            </w:r>
            <w:r w:rsidR="00D51FA6" w:rsidRPr="68F6E697">
              <w:rPr>
                <w:rFonts w:ascii="Arial" w:hAnsi="Arial" w:cs="Arial"/>
                <w:sz w:val="16"/>
                <w:szCs w:val="16"/>
              </w:rPr>
              <w:t xml:space="preserve">the </w:t>
            </w:r>
            <w:r w:rsidR="008D1735" w:rsidRPr="68F6E697">
              <w:rPr>
                <w:rFonts w:ascii="Arial" w:hAnsi="Arial" w:cs="Arial"/>
                <w:sz w:val="16"/>
                <w:szCs w:val="16"/>
              </w:rPr>
              <w:t>Core Values Index</w:t>
            </w:r>
            <w:r w:rsidR="00950B34" w:rsidRPr="68F6E697">
              <w:rPr>
                <w:rFonts w:ascii="Arial" w:hAnsi="Arial" w:cs="Arial"/>
                <w:sz w:val="16"/>
                <w:szCs w:val="16"/>
              </w:rPr>
              <w:t>,</w:t>
            </w:r>
            <w:r w:rsidR="77B26ED9" w:rsidRPr="68F6E697">
              <w:rPr>
                <w:rFonts w:ascii="Arial" w:hAnsi="Arial" w:cs="Arial"/>
                <w:sz w:val="16"/>
                <w:szCs w:val="16"/>
              </w:rPr>
              <w:t xml:space="preserve"> </w:t>
            </w:r>
            <w:r w:rsidR="2A60FC72" w:rsidRPr="68F6E697">
              <w:rPr>
                <w:rFonts w:ascii="Arial" w:hAnsi="Arial" w:cs="Arial"/>
                <w:sz w:val="16"/>
                <w:szCs w:val="16"/>
              </w:rPr>
              <w:t xml:space="preserve">which is part of </w:t>
            </w:r>
            <w:r w:rsidR="00D51FA6" w:rsidRPr="68F6E697">
              <w:rPr>
                <w:rFonts w:ascii="Arial" w:hAnsi="Arial" w:cs="Arial"/>
                <w:sz w:val="16"/>
                <w:szCs w:val="16"/>
              </w:rPr>
              <w:t xml:space="preserve">the </w:t>
            </w:r>
            <w:r w:rsidR="2A60FC72" w:rsidRPr="68F6E697">
              <w:rPr>
                <w:rFonts w:ascii="Arial" w:hAnsi="Arial" w:cs="Arial"/>
                <w:sz w:val="16"/>
                <w:szCs w:val="16"/>
              </w:rPr>
              <w:t>performance review</w:t>
            </w:r>
            <w:r w:rsidR="00D51FA6" w:rsidRPr="68F6E697">
              <w:rPr>
                <w:rFonts w:ascii="Arial" w:hAnsi="Arial" w:cs="Arial"/>
                <w:sz w:val="16"/>
                <w:szCs w:val="16"/>
              </w:rPr>
              <w:t xml:space="preserve"> of each employee</w:t>
            </w:r>
          </w:p>
        </w:tc>
        <w:tc>
          <w:tcPr>
            <w:tcW w:w="1260" w:type="dxa"/>
          </w:tcPr>
          <w:p w14:paraId="57BA939A" w14:textId="6A6C4C4F" w:rsidR="009A7521" w:rsidRPr="002E018D" w:rsidRDefault="4DE58371" w:rsidP="00224175">
            <w:pPr>
              <w:jc w:val="center"/>
              <w:rPr>
                <w:rFonts w:ascii="Arial" w:hAnsi="Arial" w:cs="Arial"/>
                <w:sz w:val="16"/>
                <w:szCs w:val="16"/>
              </w:rPr>
            </w:pPr>
            <w:r w:rsidRPr="68F6E697">
              <w:rPr>
                <w:rFonts w:ascii="Arial" w:hAnsi="Arial" w:cs="Arial"/>
                <w:sz w:val="16"/>
                <w:szCs w:val="16"/>
              </w:rPr>
              <w:t>Y</w:t>
            </w:r>
          </w:p>
        </w:tc>
        <w:tc>
          <w:tcPr>
            <w:tcW w:w="900" w:type="dxa"/>
          </w:tcPr>
          <w:p w14:paraId="2BBD56BC" w14:textId="3EB957A3" w:rsidR="009A7521" w:rsidRPr="002E018D" w:rsidRDefault="4DE58371" w:rsidP="00224175">
            <w:pPr>
              <w:jc w:val="center"/>
              <w:rPr>
                <w:rFonts w:ascii="Arial" w:hAnsi="Arial" w:cs="Arial"/>
                <w:sz w:val="16"/>
                <w:szCs w:val="16"/>
              </w:rPr>
            </w:pPr>
            <w:r w:rsidRPr="68F6E697">
              <w:rPr>
                <w:rFonts w:ascii="Arial" w:hAnsi="Arial" w:cs="Arial"/>
                <w:sz w:val="16"/>
                <w:szCs w:val="16"/>
              </w:rPr>
              <w:t>Y</w:t>
            </w:r>
          </w:p>
        </w:tc>
        <w:tc>
          <w:tcPr>
            <w:tcW w:w="1080" w:type="dxa"/>
          </w:tcPr>
          <w:p w14:paraId="19B53155" w14:textId="38C0D097" w:rsidR="009A7521" w:rsidRPr="002E018D" w:rsidRDefault="4DE58371" w:rsidP="00224175">
            <w:pPr>
              <w:jc w:val="center"/>
              <w:rPr>
                <w:rFonts w:ascii="Arial" w:hAnsi="Arial" w:cs="Arial"/>
                <w:sz w:val="16"/>
                <w:szCs w:val="16"/>
              </w:rPr>
            </w:pPr>
            <w:r w:rsidRPr="68F6E697">
              <w:rPr>
                <w:rFonts w:ascii="Arial" w:hAnsi="Arial" w:cs="Arial"/>
                <w:sz w:val="16"/>
                <w:szCs w:val="16"/>
              </w:rPr>
              <w:t>Y</w:t>
            </w:r>
          </w:p>
        </w:tc>
        <w:tc>
          <w:tcPr>
            <w:tcW w:w="1165" w:type="dxa"/>
          </w:tcPr>
          <w:p w14:paraId="573244D9" w14:textId="34F61580" w:rsidR="009A7521" w:rsidRPr="002E018D" w:rsidRDefault="0F61EF4D" w:rsidP="00224175">
            <w:pPr>
              <w:jc w:val="center"/>
              <w:rPr>
                <w:rFonts w:ascii="Arial" w:hAnsi="Arial" w:cs="Arial"/>
                <w:sz w:val="16"/>
                <w:szCs w:val="16"/>
              </w:rPr>
            </w:pPr>
            <w:r w:rsidRPr="68F6E697">
              <w:rPr>
                <w:rFonts w:ascii="Arial" w:hAnsi="Arial" w:cs="Arial"/>
                <w:sz w:val="16"/>
                <w:szCs w:val="16"/>
              </w:rPr>
              <w:t>Y</w:t>
            </w:r>
          </w:p>
        </w:tc>
      </w:tr>
    </w:tbl>
    <w:p w14:paraId="58C4765E" w14:textId="77777777" w:rsidR="004F79B0" w:rsidRPr="002E018D" w:rsidRDefault="004F79B0" w:rsidP="004F79B0">
      <w:pPr>
        <w:spacing w:after="240" w:line="288" w:lineRule="auto"/>
        <w:rPr>
          <w:rFonts w:ascii="Arial" w:hAnsi="Arial" w:cs="Arial"/>
        </w:rPr>
      </w:pPr>
    </w:p>
    <w:p w14:paraId="53717E69" w14:textId="2CEB929F" w:rsidR="00A946B3" w:rsidRPr="002E018D" w:rsidRDefault="00631C84" w:rsidP="004F79B0">
      <w:pPr>
        <w:spacing w:after="240" w:line="288" w:lineRule="auto"/>
        <w:rPr>
          <w:rFonts w:ascii="Arial" w:hAnsi="Arial" w:cs="Arial"/>
        </w:rPr>
      </w:pPr>
      <w:r w:rsidRPr="002E018D">
        <w:rPr>
          <w:rFonts w:ascii="Arial" w:hAnsi="Arial" w:cs="Arial"/>
        </w:rPr>
        <w:lastRenderedPageBreak/>
        <w:t>S</w:t>
      </w:r>
      <w:r w:rsidR="005C24B8" w:rsidRPr="002E018D">
        <w:rPr>
          <w:rFonts w:ascii="Arial" w:hAnsi="Arial" w:cs="Arial"/>
        </w:rPr>
        <w:t>tep 1</w:t>
      </w:r>
      <w:r w:rsidR="00A03383" w:rsidRPr="002E018D">
        <w:rPr>
          <w:rFonts w:ascii="Arial" w:hAnsi="Arial" w:cs="Arial"/>
        </w:rPr>
        <w:t>: Identify and value small wins</w:t>
      </w:r>
      <w:r w:rsidR="00D51FA6">
        <w:rPr>
          <w:rFonts w:ascii="Arial" w:hAnsi="Arial" w:cs="Arial"/>
        </w:rPr>
        <w:t xml:space="preserve">. </w:t>
      </w:r>
      <w:r w:rsidR="00AE2E3D">
        <w:rPr>
          <w:rFonts w:ascii="Arial" w:hAnsi="Arial" w:cs="Arial"/>
        </w:rPr>
        <w:t>Will</w:t>
      </w:r>
      <w:r w:rsidR="00601242" w:rsidRPr="002E018D">
        <w:rPr>
          <w:rFonts w:ascii="Arial" w:hAnsi="Arial" w:cs="Arial"/>
        </w:rPr>
        <w:t xml:space="preserve"> </w:t>
      </w:r>
      <w:r w:rsidR="005C24B8" w:rsidRPr="002E018D">
        <w:rPr>
          <w:rFonts w:ascii="Arial" w:hAnsi="Arial" w:cs="Arial"/>
        </w:rPr>
        <w:t xml:space="preserve">training all people managers on racial hiring goals </w:t>
      </w:r>
      <w:r w:rsidR="008B4329">
        <w:rPr>
          <w:rFonts w:ascii="Arial" w:hAnsi="Arial" w:cs="Arial"/>
        </w:rPr>
        <w:t>grow</w:t>
      </w:r>
      <w:r w:rsidR="008B4329" w:rsidRPr="002E018D">
        <w:rPr>
          <w:rFonts w:ascii="Arial" w:hAnsi="Arial" w:cs="Arial"/>
        </w:rPr>
        <w:t xml:space="preserve"> </w:t>
      </w:r>
      <w:r w:rsidR="008B4329">
        <w:rPr>
          <w:rFonts w:ascii="Arial" w:hAnsi="Arial" w:cs="Arial"/>
        </w:rPr>
        <w:t>in</w:t>
      </w:r>
      <w:r w:rsidR="008D6697" w:rsidRPr="002E018D">
        <w:rPr>
          <w:rFonts w:ascii="Arial" w:hAnsi="Arial" w:cs="Arial"/>
        </w:rPr>
        <w:t>to a small win</w:t>
      </w:r>
      <w:r w:rsidR="00601242" w:rsidRPr="002E018D">
        <w:rPr>
          <w:rFonts w:ascii="Arial" w:hAnsi="Arial" w:cs="Arial"/>
        </w:rPr>
        <w:t>?</w:t>
      </w:r>
      <w:r w:rsidR="008D6697" w:rsidRPr="002E018D">
        <w:rPr>
          <w:rFonts w:ascii="Arial" w:hAnsi="Arial" w:cs="Arial"/>
        </w:rPr>
        <w:t xml:space="preserve"> </w:t>
      </w:r>
      <w:r w:rsidR="00FB2B40" w:rsidRPr="002E018D">
        <w:rPr>
          <w:rFonts w:ascii="Arial" w:hAnsi="Arial" w:cs="Arial"/>
        </w:rPr>
        <w:t xml:space="preserve">What </w:t>
      </w:r>
      <w:r w:rsidR="00B209CC" w:rsidRPr="002E018D">
        <w:rPr>
          <w:rFonts w:ascii="Arial" w:hAnsi="Arial" w:cs="Arial"/>
        </w:rPr>
        <w:t>will be</w:t>
      </w:r>
      <w:r w:rsidR="00FB2B40" w:rsidRPr="002E018D">
        <w:rPr>
          <w:rFonts w:ascii="Arial" w:hAnsi="Arial" w:cs="Arial"/>
        </w:rPr>
        <w:t xml:space="preserve"> the visible results of this training</w:t>
      </w:r>
      <w:r w:rsidR="00AA1AE4" w:rsidRPr="002E018D">
        <w:rPr>
          <w:rFonts w:ascii="Arial" w:hAnsi="Arial" w:cs="Arial"/>
        </w:rPr>
        <w:t>? Does it represent a radical</w:t>
      </w:r>
      <w:r w:rsidR="00837CD5" w:rsidRPr="002E018D">
        <w:rPr>
          <w:rFonts w:ascii="Arial" w:hAnsi="Arial" w:cs="Arial"/>
        </w:rPr>
        <w:t>ly</w:t>
      </w:r>
      <w:r w:rsidR="00AA1AE4" w:rsidRPr="002E018D">
        <w:rPr>
          <w:rFonts w:ascii="Arial" w:hAnsi="Arial" w:cs="Arial"/>
        </w:rPr>
        <w:t xml:space="preserve"> new practice? </w:t>
      </w:r>
      <w:r w:rsidR="004B1849" w:rsidRPr="002E018D">
        <w:rPr>
          <w:rFonts w:ascii="Arial" w:hAnsi="Arial" w:cs="Arial"/>
        </w:rPr>
        <w:t xml:space="preserve">Will the training </w:t>
      </w:r>
      <w:r w:rsidR="00CB779F" w:rsidRPr="002E018D">
        <w:rPr>
          <w:rFonts w:ascii="Arial" w:hAnsi="Arial" w:cs="Arial"/>
        </w:rPr>
        <w:t>mean</w:t>
      </w:r>
      <w:r w:rsidR="00B2499C" w:rsidRPr="002E018D">
        <w:rPr>
          <w:rFonts w:ascii="Arial" w:hAnsi="Arial" w:cs="Arial"/>
        </w:rPr>
        <w:t xml:space="preserve"> a step forward </w:t>
      </w:r>
      <w:r w:rsidR="008B4329">
        <w:rPr>
          <w:rFonts w:ascii="Arial" w:hAnsi="Arial" w:cs="Arial"/>
        </w:rPr>
        <w:t xml:space="preserve">for </w:t>
      </w:r>
      <w:r w:rsidR="00B2499C" w:rsidRPr="002E018D">
        <w:rPr>
          <w:rFonts w:ascii="Arial" w:hAnsi="Arial" w:cs="Arial"/>
        </w:rPr>
        <w:t>all or a small loss for many ac</w:t>
      </w:r>
      <w:r w:rsidR="00601242" w:rsidRPr="002E018D">
        <w:rPr>
          <w:rFonts w:ascii="Arial" w:hAnsi="Arial" w:cs="Arial"/>
        </w:rPr>
        <w:t>tors</w:t>
      </w:r>
      <w:r w:rsidR="00C33FFD" w:rsidRPr="002E018D">
        <w:rPr>
          <w:rFonts w:ascii="Arial" w:hAnsi="Arial" w:cs="Arial"/>
        </w:rPr>
        <w:t xml:space="preserve">? </w:t>
      </w:r>
      <w:r w:rsidR="00F9793C" w:rsidRPr="002E018D">
        <w:rPr>
          <w:rFonts w:ascii="Arial" w:hAnsi="Arial" w:cs="Arial"/>
        </w:rPr>
        <w:t xml:space="preserve">It </w:t>
      </w:r>
      <w:r w:rsidR="008B4329">
        <w:rPr>
          <w:rFonts w:ascii="Arial" w:hAnsi="Arial" w:cs="Arial"/>
        </w:rPr>
        <w:t xml:space="preserve">is </w:t>
      </w:r>
      <w:r w:rsidR="00F9793C" w:rsidRPr="002E018D">
        <w:rPr>
          <w:rFonts w:ascii="Arial" w:hAnsi="Arial" w:cs="Arial"/>
        </w:rPr>
        <w:t>critical to ask the same ques</w:t>
      </w:r>
      <w:r w:rsidR="003B79E9" w:rsidRPr="002E018D">
        <w:rPr>
          <w:rFonts w:ascii="Arial" w:hAnsi="Arial" w:cs="Arial"/>
        </w:rPr>
        <w:t xml:space="preserve">tions </w:t>
      </w:r>
      <w:r w:rsidR="008B4329">
        <w:rPr>
          <w:rFonts w:ascii="Arial" w:hAnsi="Arial" w:cs="Arial"/>
        </w:rPr>
        <w:t>for A</w:t>
      </w:r>
      <w:r w:rsidR="008B4329" w:rsidRPr="002E018D">
        <w:rPr>
          <w:rFonts w:ascii="Arial" w:hAnsi="Arial" w:cs="Arial"/>
        </w:rPr>
        <w:t xml:space="preserve">ction </w:t>
      </w:r>
      <w:r w:rsidR="008B4329">
        <w:rPr>
          <w:rFonts w:ascii="Arial" w:hAnsi="Arial" w:cs="Arial"/>
        </w:rPr>
        <w:t>I</w:t>
      </w:r>
      <w:r w:rsidR="008B4329" w:rsidRPr="002E018D">
        <w:rPr>
          <w:rFonts w:ascii="Arial" w:hAnsi="Arial" w:cs="Arial"/>
        </w:rPr>
        <w:t xml:space="preserve">tem </w:t>
      </w:r>
      <w:r w:rsidR="003B79E9" w:rsidRPr="002E018D">
        <w:rPr>
          <w:rFonts w:ascii="Arial" w:hAnsi="Arial" w:cs="Arial"/>
        </w:rPr>
        <w:t xml:space="preserve">2. </w:t>
      </w:r>
    </w:p>
    <w:p w14:paraId="5BDE7F35" w14:textId="6F384D89" w:rsidR="00225DE4" w:rsidRPr="002E018D" w:rsidRDefault="00E061F7" w:rsidP="004F79B0">
      <w:pPr>
        <w:spacing w:after="240" w:line="288" w:lineRule="auto"/>
        <w:rPr>
          <w:rFonts w:ascii="Arial" w:hAnsi="Arial" w:cs="Arial"/>
        </w:rPr>
      </w:pPr>
      <w:r w:rsidRPr="68F6E697">
        <w:rPr>
          <w:rFonts w:ascii="Arial" w:hAnsi="Arial" w:cs="Arial"/>
        </w:rPr>
        <w:t xml:space="preserve">Action </w:t>
      </w:r>
      <w:r w:rsidR="00DE50AD" w:rsidRPr="68F6E697">
        <w:rPr>
          <w:rFonts w:ascii="Arial" w:hAnsi="Arial" w:cs="Arial"/>
        </w:rPr>
        <w:t xml:space="preserve">Item </w:t>
      </w:r>
      <w:r w:rsidRPr="68F6E697">
        <w:rPr>
          <w:rFonts w:ascii="Arial" w:hAnsi="Arial" w:cs="Arial"/>
        </w:rPr>
        <w:t>3 has the highest potential to be</w:t>
      </w:r>
      <w:r w:rsidR="008B4329" w:rsidRPr="68F6E697">
        <w:rPr>
          <w:rFonts w:ascii="Arial" w:hAnsi="Arial" w:cs="Arial"/>
        </w:rPr>
        <w:t>come</w:t>
      </w:r>
      <w:r w:rsidRPr="68F6E697">
        <w:rPr>
          <w:rFonts w:ascii="Arial" w:hAnsi="Arial" w:cs="Arial"/>
        </w:rPr>
        <w:t xml:space="preserve"> a small win. </w:t>
      </w:r>
      <w:r w:rsidR="00E57560" w:rsidRPr="68F6E697">
        <w:rPr>
          <w:rFonts w:ascii="Arial" w:hAnsi="Arial" w:cs="Arial"/>
        </w:rPr>
        <w:t>It is visible and potential</w:t>
      </w:r>
      <w:r w:rsidR="00D77A4A" w:rsidRPr="68F6E697">
        <w:rPr>
          <w:rFonts w:ascii="Arial" w:hAnsi="Arial" w:cs="Arial"/>
        </w:rPr>
        <w:t>ly even measurable</w:t>
      </w:r>
      <w:r w:rsidR="008B4329" w:rsidRPr="68F6E697">
        <w:rPr>
          <w:rFonts w:ascii="Arial" w:hAnsi="Arial" w:cs="Arial"/>
        </w:rPr>
        <w:t>,</w:t>
      </w:r>
      <w:r w:rsidR="00D77A4A" w:rsidRPr="68F6E697">
        <w:rPr>
          <w:rFonts w:ascii="Arial" w:hAnsi="Arial" w:cs="Arial"/>
        </w:rPr>
        <w:t xml:space="preserve"> as all leaders </w:t>
      </w:r>
      <w:r w:rsidR="00691284" w:rsidRPr="68F6E697">
        <w:rPr>
          <w:rFonts w:ascii="Arial" w:hAnsi="Arial" w:cs="Arial"/>
        </w:rPr>
        <w:t xml:space="preserve">now discuss their </w:t>
      </w:r>
      <w:r w:rsidR="008B4329" w:rsidRPr="68F6E697">
        <w:rPr>
          <w:rFonts w:ascii="Arial" w:hAnsi="Arial" w:cs="Arial"/>
        </w:rPr>
        <w:t>respective Core Value</w:t>
      </w:r>
      <w:r w:rsidR="001F2ED4" w:rsidRPr="68F6E697">
        <w:rPr>
          <w:rFonts w:ascii="Arial" w:hAnsi="Arial" w:cs="Arial"/>
        </w:rPr>
        <w:t>s</w:t>
      </w:r>
      <w:r w:rsidR="008B4329" w:rsidRPr="68F6E697">
        <w:rPr>
          <w:rFonts w:ascii="Arial" w:hAnsi="Arial" w:cs="Arial"/>
        </w:rPr>
        <w:t xml:space="preserve"> Indexes (CVIs)</w:t>
      </w:r>
      <w:r w:rsidR="00691284" w:rsidRPr="68F6E697">
        <w:rPr>
          <w:rFonts w:ascii="Arial" w:hAnsi="Arial" w:cs="Arial"/>
        </w:rPr>
        <w:t xml:space="preserve">. </w:t>
      </w:r>
      <w:r w:rsidR="0063768F" w:rsidRPr="68F6E697">
        <w:rPr>
          <w:rFonts w:ascii="Arial" w:hAnsi="Arial" w:cs="Arial"/>
        </w:rPr>
        <w:t xml:space="preserve">The CVI characterizes and measures a </w:t>
      </w:r>
      <w:r w:rsidR="008B4329" w:rsidRPr="68F6E697">
        <w:rPr>
          <w:rFonts w:ascii="Arial" w:hAnsi="Arial" w:cs="Arial"/>
        </w:rPr>
        <w:t xml:space="preserve">person’s </w:t>
      </w:r>
      <w:r w:rsidR="0063768F" w:rsidRPr="68F6E697">
        <w:rPr>
          <w:rFonts w:ascii="Arial" w:hAnsi="Arial" w:cs="Arial"/>
        </w:rPr>
        <w:t>real core value nature. T</w:t>
      </w:r>
      <w:r w:rsidR="00330959" w:rsidRPr="68F6E697">
        <w:rPr>
          <w:rFonts w:ascii="Arial" w:hAnsi="Arial" w:cs="Arial"/>
        </w:rPr>
        <w:t xml:space="preserve">he CVI </w:t>
      </w:r>
      <w:r w:rsidR="008B4329" w:rsidRPr="68F6E697">
        <w:rPr>
          <w:rFonts w:ascii="Arial" w:hAnsi="Arial" w:cs="Arial"/>
        </w:rPr>
        <w:t xml:space="preserve">penetrates somewhat </w:t>
      </w:r>
      <w:r w:rsidR="00330959" w:rsidRPr="68F6E697">
        <w:rPr>
          <w:rFonts w:ascii="Arial" w:hAnsi="Arial" w:cs="Arial"/>
        </w:rPr>
        <w:t>deeper than personality and behavioral</w:t>
      </w:r>
      <w:r w:rsidR="00CB779F" w:rsidRPr="68F6E697">
        <w:rPr>
          <w:rFonts w:ascii="Arial" w:hAnsi="Arial" w:cs="Arial"/>
        </w:rPr>
        <w:t>-</w:t>
      </w:r>
      <w:r w:rsidR="00330959" w:rsidRPr="68F6E697">
        <w:rPr>
          <w:rFonts w:ascii="Arial" w:hAnsi="Arial" w:cs="Arial"/>
        </w:rPr>
        <w:t>based assessments</w:t>
      </w:r>
      <w:r w:rsidR="008D1735" w:rsidRPr="68F6E697">
        <w:rPr>
          <w:rFonts w:ascii="Arial" w:hAnsi="Arial" w:cs="Arial"/>
        </w:rPr>
        <w:t>,</w:t>
      </w:r>
      <w:r w:rsidR="00330959" w:rsidRPr="68F6E697">
        <w:rPr>
          <w:rFonts w:ascii="Arial" w:hAnsi="Arial" w:cs="Arial"/>
        </w:rPr>
        <w:t xml:space="preserve"> such as </w:t>
      </w:r>
      <w:r w:rsidR="008D1735" w:rsidRPr="68F6E697">
        <w:rPr>
          <w:rFonts w:ascii="Arial" w:hAnsi="Arial" w:cs="Arial"/>
        </w:rPr>
        <w:t xml:space="preserve">the </w:t>
      </w:r>
      <w:r w:rsidR="00330959" w:rsidRPr="68F6E697">
        <w:rPr>
          <w:rFonts w:ascii="Arial" w:hAnsi="Arial" w:cs="Arial"/>
        </w:rPr>
        <w:t>Myers</w:t>
      </w:r>
      <w:r w:rsidR="008B4329" w:rsidRPr="68F6E697">
        <w:rPr>
          <w:rFonts w:ascii="Arial" w:hAnsi="Arial" w:cs="Arial"/>
        </w:rPr>
        <w:t>–</w:t>
      </w:r>
      <w:r w:rsidR="00330959" w:rsidRPr="68F6E697">
        <w:rPr>
          <w:rFonts w:ascii="Arial" w:hAnsi="Arial" w:cs="Arial"/>
        </w:rPr>
        <w:t>Briggs</w:t>
      </w:r>
      <w:r w:rsidR="00171D78" w:rsidRPr="68F6E697">
        <w:rPr>
          <w:rFonts w:ascii="Arial" w:hAnsi="Arial" w:cs="Arial"/>
        </w:rPr>
        <w:t xml:space="preserve"> </w:t>
      </w:r>
      <w:r w:rsidR="008D1735" w:rsidRPr="68F6E697">
        <w:rPr>
          <w:rFonts w:ascii="Arial" w:hAnsi="Arial" w:cs="Arial"/>
        </w:rPr>
        <w:t>Type Indicator</w:t>
      </w:r>
      <w:r w:rsidR="00330959" w:rsidRPr="68F6E697">
        <w:rPr>
          <w:rFonts w:ascii="Arial" w:hAnsi="Arial" w:cs="Arial"/>
        </w:rPr>
        <w:t>, DiSC</w:t>
      </w:r>
      <w:r w:rsidR="008D1735" w:rsidRPr="68F6E697">
        <w:rPr>
          <w:rFonts w:ascii="Arial" w:hAnsi="Arial" w:cs="Arial"/>
        </w:rPr>
        <w:t xml:space="preserve"> Personality Profile</w:t>
      </w:r>
      <w:r w:rsidR="00330959" w:rsidRPr="68F6E697">
        <w:rPr>
          <w:rFonts w:ascii="Arial" w:hAnsi="Arial" w:cs="Arial"/>
        </w:rPr>
        <w:t xml:space="preserve">, </w:t>
      </w:r>
      <w:r w:rsidR="008B4329" w:rsidRPr="68F6E697">
        <w:rPr>
          <w:rFonts w:ascii="Arial" w:hAnsi="Arial" w:cs="Arial"/>
        </w:rPr>
        <w:t xml:space="preserve">and </w:t>
      </w:r>
      <w:r w:rsidR="00330959" w:rsidRPr="68F6E697">
        <w:rPr>
          <w:rFonts w:ascii="Arial" w:hAnsi="Arial" w:cs="Arial"/>
        </w:rPr>
        <w:t>Hogan</w:t>
      </w:r>
      <w:r w:rsidR="008D1735" w:rsidRPr="68F6E697">
        <w:rPr>
          <w:rFonts w:ascii="Arial" w:hAnsi="Arial" w:cs="Arial"/>
        </w:rPr>
        <w:t xml:space="preserve"> Development Survey</w:t>
      </w:r>
      <w:r w:rsidR="00CB779F" w:rsidRPr="68F6E697">
        <w:rPr>
          <w:rFonts w:ascii="Arial" w:hAnsi="Arial" w:cs="Arial"/>
        </w:rPr>
        <w:t>,</w:t>
      </w:r>
      <w:r w:rsidR="00330959" w:rsidRPr="68F6E697">
        <w:rPr>
          <w:rFonts w:ascii="Arial" w:hAnsi="Arial" w:cs="Arial"/>
        </w:rPr>
        <w:t xml:space="preserve"> to identify </w:t>
      </w:r>
      <w:r w:rsidR="001F2ED4" w:rsidRPr="68F6E697">
        <w:rPr>
          <w:rFonts w:ascii="Arial" w:hAnsi="Arial" w:cs="Arial"/>
        </w:rPr>
        <w:t xml:space="preserve">the values meaningful to </w:t>
      </w:r>
      <w:r w:rsidR="00330959" w:rsidRPr="68F6E697">
        <w:rPr>
          <w:rFonts w:ascii="Arial" w:hAnsi="Arial" w:cs="Arial"/>
        </w:rPr>
        <w:t xml:space="preserve">a person. </w:t>
      </w:r>
      <w:r w:rsidR="009354BD" w:rsidRPr="68F6E697">
        <w:rPr>
          <w:rFonts w:ascii="Arial" w:hAnsi="Arial" w:cs="Arial"/>
        </w:rPr>
        <w:t>Adding the concept of equity</w:t>
      </w:r>
      <w:r w:rsidR="00C00638" w:rsidRPr="68F6E697">
        <w:rPr>
          <w:rFonts w:ascii="Arial" w:hAnsi="Arial" w:cs="Arial"/>
        </w:rPr>
        <w:t xml:space="preserve"> (i.e., fostering fairness by treating</w:t>
      </w:r>
      <w:r w:rsidR="008B4329" w:rsidRPr="68F6E697">
        <w:rPr>
          <w:rFonts w:ascii="Arial" w:hAnsi="Arial" w:cs="Arial"/>
        </w:rPr>
        <w:t xml:space="preserve"> </w:t>
      </w:r>
      <w:r w:rsidR="00C00638" w:rsidRPr="68F6E697">
        <w:rPr>
          <w:rFonts w:ascii="Arial" w:hAnsi="Arial" w:cs="Arial"/>
        </w:rPr>
        <w:t xml:space="preserve">people </w:t>
      </w:r>
      <w:r w:rsidR="435B6E99" w:rsidRPr="68F6E697">
        <w:rPr>
          <w:rFonts w:ascii="Arial" w:hAnsi="Arial" w:cs="Arial"/>
        </w:rPr>
        <w:t>differently</w:t>
      </w:r>
      <w:r w:rsidR="00C00638" w:rsidRPr="68F6E697">
        <w:rPr>
          <w:rFonts w:ascii="Arial" w:hAnsi="Arial" w:cs="Arial"/>
        </w:rPr>
        <w:t xml:space="preserve">) </w:t>
      </w:r>
      <w:r w:rsidR="00EB0209" w:rsidRPr="68F6E697">
        <w:rPr>
          <w:rFonts w:ascii="Arial" w:hAnsi="Arial" w:cs="Arial"/>
        </w:rPr>
        <w:t xml:space="preserve">to the CVI is </w:t>
      </w:r>
      <w:r w:rsidR="008B4329" w:rsidRPr="68F6E697">
        <w:rPr>
          <w:rFonts w:ascii="Arial" w:hAnsi="Arial" w:cs="Arial"/>
        </w:rPr>
        <w:t xml:space="preserve">equivalent </w:t>
      </w:r>
      <w:r w:rsidR="001F2ED4" w:rsidRPr="68F6E697">
        <w:rPr>
          <w:rFonts w:ascii="Arial" w:hAnsi="Arial" w:cs="Arial"/>
        </w:rPr>
        <w:t xml:space="preserve">to making a </w:t>
      </w:r>
      <w:r w:rsidR="00EB0209" w:rsidRPr="68F6E697">
        <w:rPr>
          <w:rFonts w:ascii="Arial" w:hAnsi="Arial" w:cs="Arial"/>
        </w:rPr>
        <w:t>second</w:t>
      </w:r>
      <w:r w:rsidR="008B4329" w:rsidRPr="68F6E697">
        <w:rPr>
          <w:rFonts w:ascii="Arial" w:hAnsi="Arial" w:cs="Arial"/>
        </w:rPr>
        <w:t>-</w:t>
      </w:r>
      <w:r w:rsidR="00EB0209" w:rsidRPr="68F6E697">
        <w:rPr>
          <w:rFonts w:ascii="Arial" w:hAnsi="Arial" w:cs="Arial"/>
        </w:rPr>
        <w:t xml:space="preserve"> </w:t>
      </w:r>
      <w:r w:rsidR="001F2ED4" w:rsidRPr="68F6E697">
        <w:rPr>
          <w:rFonts w:ascii="Arial" w:hAnsi="Arial" w:cs="Arial"/>
        </w:rPr>
        <w:t xml:space="preserve">or a </w:t>
      </w:r>
      <w:r w:rsidR="00EB0209" w:rsidRPr="68F6E697">
        <w:rPr>
          <w:rFonts w:ascii="Arial" w:hAnsi="Arial" w:cs="Arial"/>
        </w:rPr>
        <w:t>third</w:t>
      </w:r>
      <w:r w:rsidR="00CB779F" w:rsidRPr="68F6E697">
        <w:rPr>
          <w:rFonts w:ascii="Arial" w:hAnsi="Arial" w:cs="Arial"/>
        </w:rPr>
        <w:t>-</w:t>
      </w:r>
      <w:r w:rsidR="00EB0209" w:rsidRPr="68F6E697">
        <w:rPr>
          <w:rFonts w:ascii="Arial" w:hAnsi="Arial" w:cs="Arial"/>
        </w:rPr>
        <w:t>order change</w:t>
      </w:r>
      <w:r w:rsidR="008B4329" w:rsidRPr="68F6E697">
        <w:rPr>
          <w:rFonts w:ascii="Arial" w:hAnsi="Arial" w:cs="Arial"/>
        </w:rPr>
        <w:t>—</w:t>
      </w:r>
      <w:r w:rsidR="00EB0209" w:rsidRPr="68F6E697">
        <w:rPr>
          <w:rFonts w:ascii="Arial" w:hAnsi="Arial" w:cs="Arial"/>
        </w:rPr>
        <w:t xml:space="preserve">and potentially </w:t>
      </w:r>
      <w:r w:rsidR="00AE2E3D" w:rsidRPr="68F6E697">
        <w:rPr>
          <w:rFonts w:ascii="Arial" w:hAnsi="Arial" w:cs="Arial"/>
        </w:rPr>
        <w:t xml:space="preserve">creating </w:t>
      </w:r>
      <w:r w:rsidR="00EB0209" w:rsidRPr="68F6E697">
        <w:rPr>
          <w:rFonts w:ascii="Arial" w:hAnsi="Arial" w:cs="Arial"/>
        </w:rPr>
        <w:t xml:space="preserve">even </w:t>
      </w:r>
      <w:r w:rsidR="00E81FF2" w:rsidRPr="68F6E697">
        <w:rPr>
          <w:rFonts w:ascii="Arial" w:hAnsi="Arial" w:cs="Arial"/>
        </w:rPr>
        <w:t>a radical</w:t>
      </w:r>
      <w:r w:rsidR="00CB779F" w:rsidRPr="68F6E697">
        <w:rPr>
          <w:rFonts w:ascii="Arial" w:hAnsi="Arial" w:cs="Arial"/>
        </w:rPr>
        <w:t>ly</w:t>
      </w:r>
      <w:r w:rsidR="00E81FF2" w:rsidRPr="68F6E697">
        <w:rPr>
          <w:rFonts w:ascii="Arial" w:hAnsi="Arial" w:cs="Arial"/>
        </w:rPr>
        <w:t xml:space="preserve"> new practice. </w:t>
      </w:r>
      <w:r w:rsidR="001F2ED4" w:rsidRPr="68F6E697">
        <w:rPr>
          <w:rFonts w:ascii="Arial" w:hAnsi="Arial" w:cs="Arial"/>
        </w:rPr>
        <w:t>A</w:t>
      </w:r>
      <w:r w:rsidR="00E859C9" w:rsidRPr="68F6E697">
        <w:rPr>
          <w:rFonts w:ascii="Arial" w:hAnsi="Arial" w:cs="Arial"/>
        </w:rPr>
        <w:t xml:space="preserve">ction </w:t>
      </w:r>
      <w:r w:rsidR="001F2ED4" w:rsidRPr="68F6E697">
        <w:rPr>
          <w:rFonts w:ascii="Arial" w:hAnsi="Arial" w:cs="Arial"/>
        </w:rPr>
        <w:t xml:space="preserve">Item 3 </w:t>
      </w:r>
      <w:r w:rsidR="00E859C9" w:rsidRPr="68F6E697">
        <w:rPr>
          <w:rFonts w:ascii="Arial" w:hAnsi="Arial" w:cs="Arial"/>
        </w:rPr>
        <w:t xml:space="preserve">is also </w:t>
      </w:r>
      <w:r w:rsidR="001F2ED4" w:rsidRPr="68F6E697">
        <w:rPr>
          <w:rFonts w:ascii="Arial" w:hAnsi="Arial" w:cs="Arial"/>
        </w:rPr>
        <w:t xml:space="preserve">either </w:t>
      </w:r>
      <w:r w:rsidR="00E859C9" w:rsidRPr="68F6E697">
        <w:rPr>
          <w:rFonts w:ascii="Arial" w:hAnsi="Arial" w:cs="Arial"/>
        </w:rPr>
        <w:t>m</w:t>
      </w:r>
      <w:r w:rsidR="00EB71E1" w:rsidRPr="68F6E697">
        <w:rPr>
          <w:rFonts w:ascii="Arial" w:hAnsi="Arial" w:cs="Arial"/>
        </w:rPr>
        <w:t>icro</w:t>
      </w:r>
      <w:r w:rsidR="001F2ED4" w:rsidRPr="68F6E697">
        <w:rPr>
          <w:rFonts w:ascii="Arial" w:hAnsi="Arial" w:cs="Arial"/>
        </w:rPr>
        <w:t xml:space="preserve"> or </w:t>
      </w:r>
      <w:r w:rsidR="00EB71E1" w:rsidRPr="68F6E697">
        <w:rPr>
          <w:rFonts w:ascii="Arial" w:hAnsi="Arial" w:cs="Arial"/>
        </w:rPr>
        <w:t>intermediate</w:t>
      </w:r>
      <w:r w:rsidR="00224175" w:rsidRPr="68F6E697">
        <w:rPr>
          <w:rFonts w:ascii="Arial" w:hAnsi="Arial" w:cs="Arial"/>
        </w:rPr>
        <w:t xml:space="preserve"> </w:t>
      </w:r>
      <w:r w:rsidR="001F2ED4" w:rsidRPr="68F6E697">
        <w:rPr>
          <w:rFonts w:ascii="Arial" w:hAnsi="Arial" w:cs="Arial"/>
        </w:rPr>
        <w:t xml:space="preserve">in nature as it </w:t>
      </w:r>
      <w:r w:rsidR="00224175" w:rsidRPr="68F6E697">
        <w:rPr>
          <w:rFonts w:ascii="Arial" w:hAnsi="Arial" w:cs="Arial"/>
        </w:rPr>
        <w:t xml:space="preserve">relates to a shared ambition. </w:t>
      </w:r>
      <w:r w:rsidR="00A946B3" w:rsidRPr="68F6E697">
        <w:rPr>
          <w:rFonts w:ascii="Arial" w:hAnsi="Arial" w:cs="Arial"/>
        </w:rPr>
        <w:t xml:space="preserve">Importantly, if </w:t>
      </w:r>
      <w:r w:rsidR="001F2ED4" w:rsidRPr="68F6E697">
        <w:rPr>
          <w:rFonts w:ascii="Arial" w:hAnsi="Arial" w:cs="Arial"/>
        </w:rPr>
        <w:t xml:space="preserve">this </w:t>
      </w:r>
      <w:r w:rsidR="00A946B3" w:rsidRPr="68F6E697">
        <w:rPr>
          <w:rFonts w:ascii="Arial" w:hAnsi="Arial" w:cs="Arial"/>
        </w:rPr>
        <w:t>action item</w:t>
      </w:r>
      <w:r w:rsidR="00AA37C3" w:rsidRPr="68F6E697">
        <w:rPr>
          <w:rFonts w:ascii="Arial" w:hAnsi="Arial" w:cs="Arial"/>
        </w:rPr>
        <w:t xml:space="preserve"> is </w:t>
      </w:r>
      <w:r w:rsidR="001F2ED4" w:rsidRPr="68F6E697">
        <w:rPr>
          <w:rFonts w:ascii="Arial" w:hAnsi="Arial" w:cs="Arial"/>
        </w:rPr>
        <w:t xml:space="preserve">implemented </w:t>
      </w:r>
      <w:r w:rsidR="00AA37C3" w:rsidRPr="68F6E697">
        <w:rPr>
          <w:rFonts w:ascii="Arial" w:hAnsi="Arial" w:cs="Arial"/>
        </w:rPr>
        <w:t xml:space="preserve">well, </w:t>
      </w:r>
      <w:r w:rsidR="001F2ED4" w:rsidRPr="68F6E697">
        <w:rPr>
          <w:rFonts w:ascii="Arial" w:hAnsi="Arial" w:cs="Arial"/>
        </w:rPr>
        <w:t xml:space="preserve">Action Items </w:t>
      </w:r>
      <w:r w:rsidR="00AA37C3" w:rsidRPr="68F6E697">
        <w:rPr>
          <w:rFonts w:ascii="Arial" w:hAnsi="Arial" w:cs="Arial"/>
        </w:rPr>
        <w:t xml:space="preserve">1 and 2 </w:t>
      </w:r>
      <w:r w:rsidR="001F2ED4" w:rsidRPr="68F6E697">
        <w:rPr>
          <w:rFonts w:ascii="Arial" w:hAnsi="Arial" w:cs="Arial"/>
        </w:rPr>
        <w:t xml:space="preserve">become </w:t>
      </w:r>
      <w:r w:rsidR="007145EB" w:rsidRPr="68F6E697">
        <w:rPr>
          <w:rFonts w:ascii="Arial" w:hAnsi="Arial" w:cs="Arial"/>
        </w:rPr>
        <w:t xml:space="preserve">natural extensions. In </w:t>
      </w:r>
      <w:r w:rsidR="001F2ED4" w:rsidRPr="68F6E697">
        <w:rPr>
          <w:rFonts w:ascii="Arial" w:hAnsi="Arial" w:cs="Arial"/>
        </w:rPr>
        <w:t xml:space="preserve">other </w:t>
      </w:r>
      <w:r w:rsidR="00F35C72" w:rsidRPr="68F6E697">
        <w:rPr>
          <w:rFonts w:ascii="Arial" w:hAnsi="Arial" w:cs="Arial"/>
        </w:rPr>
        <w:t xml:space="preserve">words, if </w:t>
      </w:r>
      <w:r w:rsidR="001F2ED4" w:rsidRPr="68F6E697">
        <w:rPr>
          <w:rFonts w:ascii="Arial" w:hAnsi="Arial" w:cs="Arial"/>
        </w:rPr>
        <w:t xml:space="preserve">the </w:t>
      </w:r>
      <w:r w:rsidR="00F35C72" w:rsidRPr="68F6E697">
        <w:rPr>
          <w:rFonts w:ascii="Arial" w:hAnsi="Arial" w:cs="Arial"/>
        </w:rPr>
        <w:t>leadership believe</w:t>
      </w:r>
      <w:r w:rsidR="003322EF" w:rsidRPr="68F6E697">
        <w:rPr>
          <w:rFonts w:ascii="Arial" w:hAnsi="Arial" w:cs="Arial"/>
        </w:rPr>
        <w:t>s</w:t>
      </w:r>
      <w:r w:rsidR="00F35C72" w:rsidRPr="68F6E697">
        <w:rPr>
          <w:rFonts w:ascii="Arial" w:hAnsi="Arial" w:cs="Arial"/>
        </w:rPr>
        <w:t xml:space="preserve"> </w:t>
      </w:r>
      <w:r w:rsidR="001F2ED4" w:rsidRPr="68F6E697">
        <w:rPr>
          <w:rFonts w:ascii="Arial" w:hAnsi="Arial" w:cs="Arial"/>
        </w:rPr>
        <w:t xml:space="preserve">that </w:t>
      </w:r>
      <w:r w:rsidR="00F35C72" w:rsidRPr="68F6E697">
        <w:rPr>
          <w:rFonts w:ascii="Arial" w:hAnsi="Arial" w:cs="Arial"/>
        </w:rPr>
        <w:t xml:space="preserve">learning and fostering racial equity </w:t>
      </w:r>
      <w:r w:rsidR="003B624B" w:rsidRPr="68F6E697">
        <w:rPr>
          <w:rFonts w:ascii="Arial" w:hAnsi="Arial" w:cs="Arial"/>
        </w:rPr>
        <w:t>aligns with an individual</w:t>
      </w:r>
      <w:r w:rsidR="001F2ED4" w:rsidRPr="68F6E697">
        <w:rPr>
          <w:rFonts w:ascii="Arial" w:hAnsi="Arial" w:cs="Arial"/>
        </w:rPr>
        <w:t>’s</w:t>
      </w:r>
      <w:r w:rsidR="003B624B" w:rsidRPr="68F6E697">
        <w:rPr>
          <w:rFonts w:ascii="Arial" w:hAnsi="Arial" w:cs="Arial"/>
        </w:rPr>
        <w:t xml:space="preserve"> and </w:t>
      </w:r>
      <w:r w:rsidR="001F2ED4" w:rsidRPr="68F6E697">
        <w:rPr>
          <w:rFonts w:ascii="Arial" w:hAnsi="Arial" w:cs="Arial"/>
        </w:rPr>
        <w:t xml:space="preserve">organization’s </w:t>
      </w:r>
      <w:r w:rsidR="003B624B" w:rsidRPr="68F6E697">
        <w:rPr>
          <w:rFonts w:ascii="Arial" w:hAnsi="Arial" w:cs="Arial"/>
        </w:rPr>
        <w:t>shared meaning</w:t>
      </w:r>
      <w:r w:rsidR="00A91865" w:rsidRPr="68F6E697">
        <w:rPr>
          <w:rFonts w:ascii="Arial" w:hAnsi="Arial" w:cs="Arial"/>
        </w:rPr>
        <w:t xml:space="preserve">, </w:t>
      </w:r>
      <w:r w:rsidR="001F2ED4" w:rsidRPr="68F6E697">
        <w:rPr>
          <w:rFonts w:ascii="Arial" w:hAnsi="Arial" w:cs="Arial"/>
        </w:rPr>
        <w:t xml:space="preserve">it </w:t>
      </w:r>
      <w:r w:rsidR="00A91865" w:rsidRPr="68F6E697">
        <w:rPr>
          <w:rFonts w:ascii="Arial" w:hAnsi="Arial" w:cs="Arial"/>
        </w:rPr>
        <w:t xml:space="preserve">will </w:t>
      </w:r>
      <w:r w:rsidR="005203AB" w:rsidRPr="68F6E697">
        <w:rPr>
          <w:rFonts w:ascii="Arial" w:hAnsi="Arial" w:cs="Arial"/>
        </w:rPr>
        <w:t>more eagerly embrace racial hiring goals</w:t>
      </w:r>
      <w:r w:rsidR="007B5F9B" w:rsidRPr="68F6E697">
        <w:rPr>
          <w:rFonts w:ascii="Arial" w:hAnsi="Arial" w:cs="Arial"/>
        </w:rPr>
        <w:t xml:space="preserve"> and be an advocate for stretch roles for Black, Indigenous</w:t>
      </w:r>
      <w:r w:rsidR="00AB478E" w:rsidRPr="68F6E697">
        <w:rPr>
          <w:rFonts w:ascii="Arial" w:hAnsi="Arial" w:cs="Arial"/>
        </w:rPr>
        <w:t>,</w:t>
      </w:r>
      <w:r w:rsidR="007B5F9B" w:rsidRPr="68F6E697">
        <w:rPr>
          <w:rFonts w:ascii="Arial" w:hAnsi="Arial" w:cs="Arial"/>
        </w:rPr>
        <w:t xml:space="preserve"> and People of Color (BIPOC).</w:t>
      </w:r>
    </w:p>
    <w:p w14:paraId="12A0DE61" w14:textId="32EC60A0" w:rsidR="009502DF" w:rsidRPr="002E018D" w:rsidRDefault="001F2ED4" w:rsidP="004F79B0">
      <w:pPr>
        <w:spacing w:after="240" w:line="288" w:lineRule="auto"/>
        <w:rPr>
          <w:rFonts w:ascii="Arial" w:hAnsi="Arial" w:cs="Arial"/>
        </w:rPr>
      </w:pPr>
      <w:r>
        <w:rPr>
          <w:rFonts w:ascii="Arial" w:hAnsi="Arial" w:cs="Arial"/>
        </w:rPr>
        <w:t>S</w:t>
      </w:r>
      <w:r w:rsidR="00AB478E" w:rsidRPr="002E018D">
        <w:rPr>
          <w:rFonts w:ascii="Arial" w:hAnsi="Arial" w:cs="Arial"/>
        </w:rPr>
        <w:t xml:space="preserve">tep 2: </w:t>
      </w:r>
      <w:r w:rsidRPr="002E018D">
        <w:rPr>
          <w:rFonts w:ascii="Arial" w:hAnsi="Arial" w:cs="Arial"/>
        </w:rPr>
        <w:t>Analyz</w:t>
      </w:r>
      <w:r w:rsidR="00DE50AD">
        <w:rPr>
          <w:rFonts w:ascii="Arial" w:hAnsi="Arial" w:cs="Arial"/>
        </w:rPr>
        <w:t>e</w:t>
      </w:r>
      <w:r w:rsidRPr="002E018D">
        <w:rPr>
          <w:rFonts w:ascii="Arial" w:hAnsi="Arial" w:cs="Arial"/>
        </w:rPr>
        <w:t xml:space="preserve"> </w:t>
      </w:r>
      <w:r w:rsidR="00AB478E" w:rsidRPr="002E018D">
        <w:rPr>
          <w:rFonts w:ascii="Arial" w:hAnsi="Arial" w:cs="Arial"/>
        </w:rPr>
        <w:t xml:space="preserve">if </w:t>
      </w:r>
      <w:r>
        <w:rPr>
          <w:rFonts w:ascii="Arial" w:hAnsi="Arial" w:cs="Arial"/>
        </w:rPr>
        <w:t xml:space="preserve">the </w:t>
      </w:r>
      <w:r w:rsidR="00AB478E" w:rsidRPr="002E018D">
        <w:rPr>
          <w:rFonts w:ascii="Arial" w:hAnsi="Arial" w:cs="Arial"/>
        </w:rPr>
        <w:t>propelling mechanism</w:t>
      </w:r>
      <w:r w:rsidR="00631C84" w:rsidRPr="002E018D">
        <w:rPr>
          <w:rFonts w:ascii="Arial" w:hAnsi="Arial" w:cs="Arial"/>
        </w:rPr>
        <w:t>s</w:t>
      </w:r>
      <w:r w:rsidR="00AB478E" w:rsidRPr="002E018D">
        <w:rPr>
          <w:rFonts w:ascii="Arial" w:hAnsi="Arial" w:cs="Arial"/>
        </w:rPr>
        <w:t xml:space="preserve"> are present</w:t>
      </w:r>
      <w:r w:rsidR="00DE50AD">
        <w:rPr>
          <w:rFonts w:ascii="Arial" w:hAnsi="Arial" w:cs="Arial"/>
        </w:rPr>
        <w:t>.</w:t>
      </w:r>
      <w:r>
        <w:rPr>
          <w:rFonts w:ascii="Arial" w:hAnsi="Arial" w:cs="Arial"/>
        </w:rPr>
        <w:t xml:space="preserve"> </w:t>
      </w:r>
      <w:r w:rsidR="00DE50AD">
        <w:rPr>
          <w:rFonts w:ascii="Arial" w:hAnsi="Arial" w:cs="Arial"/>
        </w:rPr>
        <w:t xml:space="preserve">This step </w:t>
      </w:r>
      <w:r>
        <w:rPr>
          <w:rFonts w:ascii="Arial" w:hAnsi="Arial" w:cs="Arial"/>
        </w:rPr>
        <w:t>compels</w:t>
      </w:r>
      <w:r w:rsidRPr="002E018D">
        <w:rPr>
          <w:rFonts w:ascii="Arial" w:hAnsi="Arial" w:cs="Arial"/>
        </w:rPr>
        <w:t xml:space="preserve"> </w:t>
      </w:r>
      <w:r w:rsidR="00506F0A" w:rsidRPr="002E018D">
        <w:rPr>
          <w:rFonts w:ascii="Arial" w:hAnsi="Arial" w:cs="Arial"/>
        </w:rPr>
        <w:t xml:space="preserve">us to </w:t>
      </w:r>
      <w:r w:rsidR="00134531" w:rsidRPr="002E018D">
        <w:rPr>
          <w:rFonts w:ascii="Arial" w:hAnsi="Arial" w:cs="Arial"/>
        </w:rPr>
        <w:t xml:space="preserve">reflect on </w:t>
      </w:r>
      <w:r w:rsidR="00AB478E" w:rsidRPr="002E018D">
        <w:rPr>
          <w:rFonts w:ascii="Arial" w:hAnsi="Arial" w:cs="Arial"/>
        </w:rPr>
        <w:t xml:space="preserve">how </w:t>
      </w:r>
      <w:r>
        <w:rPr>
          <w:rFonts w:ascii="Arial" w:hAnsi="Arial" w:cs="Arial"/>
        </w:rPr>
        <w:t>A</w:t>
      </w:r>
      <w:r w:rsidRPr="002E018D">
        <w:rPr>
          <w:rFonts w:ascii="Arial" w:hAnsi="Arial" w:cs="Arial"/>
        </w:rPr>
        <w:t xml:space="preserve">ction </w:t>
      </w:r>
      <w:r>
        <w:rPr>
          <w:rFonts w:ascii="Arial" w:hAnsi="Arial" w:cs="Arial"/>
        </w:rPr>
        <w:t xml:space="preserve">Item </w:t>
      </w:r>
      <w:r w:rsidR="00AB478E" w:rsidRPr="002E018D">
        <w:rPr>
          <w:rFonts w:ascii="Arial" w:hAnsi="Arial" w:cs="Arial"/>
        </w:rPr>
        <w:t xml:space="preserve">3 </w:t>
      </w:r>
      <w:r w:rsidR="00EC6C1E" w:rsidRPr="002E018D">
        <w:rPr>
          <w:rFonts w:ascii="Arial" w:hAnsi="Arial" w:cs="Arial"/>
        </w:rPr>
        <w:t xml:space="preserve">might </w:t>
      </w:r>
      <w:r w:rsidR="00AB478E" w:rsidRPr="002E018D">
        <w:rPr>
          <w:rFonts w:ascii="Arial" w:hAnsi="Arial" w:cs="Arial"/>
        </w:rPr>
        <w:t>be strengthened</w:t>
      </w:r>
      <w:r w:rsidR="00EC6C1E" w:rsidRPr="002E018D">
        <w:rPr>
          <w:rFonts w:ascii="Arial" w:hAnsi="Arial" w:cs="Arial"/>
        </w:rPr>
        <w:t xml:space="preserve"> as a small win.</w:t>
      </w:r>
      <w:r>
        <w:rPr>
          <w:rFonts w:ascii="Arial" w:hAnsi="Arial" w:cs="Arial"/>
        </w:rPr>
        <w:t xml:space="preserve"> As the CVI </w:t>
      </w:r>
      <w:r w:rsidR="006C7512" w:rsidRPr="002E018D">
        <w:rPr>
          <w:rFonts w:ascii="Arial" w:hAnsi="Arial" w:cs="Arial"/>
        </w:rPr>
        <w:t xml:space="preserve">is already an evaluative </w:t>
      </w:r>
      <w:r w:rsidR="00B70E73" w:rsidRPr="002E018D">
        <w:rPr>
          <w:rFonts w:ascii="Arial" w:hAnsi="Arial" w:cs="Arial"/>
        </w:rPr>
        <w:t>tool use</w:t>
      </w:r>
      <w:r w:rsidR="006170AF" w:rsidRPr="002E018D">
        <w:rPr>
          <w:rFonts w:ascii="Arial" w:hAnsi="Arial" w:cs="Arial"/>
        </w:rPr>
        <w:t>d</w:t>
      </w:r>
      <w:r w:rsidR="00B70E73" w:rsidRPr="002E018D">
        <w:rPr>
          <w:rFonts w:ascii="Arial" w:hAnsi="Arial" w:cs="Arial"/>
        </w:rPr>
        <w:t xml:space="preserve"> by the organization, apply</w:t>
      </w:r>
      <w:r w:rsidR="00C433FB" w:rsidRPr="002E018D">
        <w:rPr>
          <w:rFonts w:ascii="Arial" w:hAnsi="Arial" w:cs="Arial"/>
        </w:rPr>
        <w:t>ing</w:t>
      </w:r>
      <w:r w:rsidR="00B70E73" w:rsidRPr="002E018D">
        <w:rPr>
          <w:rFonts w:ascii="Arial" w:hAnsi="Arial" w:cs="Arial"/>
        </w:rPr>
        <w:t xml:space="preserve"> a</w:t>
      </w:r>
      <w:r w:rsidR="0031537F" w:rsidRPr="002E018D">
        <w:rPr>
          <w:rFonts w:ascii="Arial" w:hAnsi="Arial" w:cs="Arial"/>
        </w:rPr>
        <w:t>n</w:t>
      </w:r>
      <w:r w:rsidR="00B70E73" w:rsidRPr="002E018D">
        <w:rPr>
          <w:rFonts w:ascii="Arial" w:hAnsi="Arial" w:cs="Arial"/>
        </w:rPr>
        <w:t xml:space="preserve"> equity len</w:t>
      </w:r>
      <w:r w:rsidR="00C433FB" w:rsidRPr="002E018D">
        <w:rPr>
          <w:rFonts w:ascii="Arial" w:hAnsi="Arial" w:cs="Arial"/>
        </w:rPr>
        <w:t xml:space="preserve">s models </w:t>
      </w:r>
      <w:r w:rsidR="00935984" w:rsidRPr="002E018D">
        <w:rPr>
          <w:rFonts w:ascii="Arial" w:hAnsi="Arial" w:cs="Arial"/>
        </w:rPr>
        <w:t xml:space="preserve">the </w:t>
      </w:r>
      <w:r w:rsidR="0031537F" w:rsidRPr="002E018D">
        <w:rPr>
          <w:rFonts w:ascii="Arial" w:hAnsi="Arial" w:cs="Arial"/>
        </w:rPr>
        <w:t xml:space="preserve">shifting of </w:t>
      </w:r>
      <w:r>
        <w:rPr>
          <w:rFonts w:ascii="Arial" w:hAnsi="Arial" w:cs="Arial"/>
        </w:rPr>
        <w:t xml:space="preserve">the </w:t>
      </w:r>
      <w:r w:rsidR="00F43EE3" w:rsidRPr="002E018D">
        <w:rPr>
          <w:rFonts w:ascii="Arial" w:hAnsi="Arial" w:cs="Arial"/>
        </w:rPr>
        <w:t xml:space="preserve">perspective </w:t>
      </w:r>
      <w:r w:rsidR="009B2B9E" w:rsidRPr="002E018D">
        <w:rPr>
          <w:rFonts w:ascii="Arial" w:hAnsi="Arial" w:cs="Arial"/>
        </w:rPr>
        <w:t xml:space="preserve">required by </w:t>
      </w:r>
      <w:r w:rsidR="0084466B" w:rsidRPr="002E018D">
        <w:rPr>
          <w:rFonts w:ascii="Arial" w:hAnsi="Arial" w:cs="Arial"/>
        </w:rPr>
        <w:t>a cultural</w:t>
      </w:r>
      <w:r w:rsidR="00631C84" w:rsidRPr="002E018D">
        <w:rPr>
          <w:rFonts w:ascii="Arial" w:hAnsi="Arial" w:cs="Arial"/>
        </w:rPr>
        <w:t>ly</w:t>
      </w:r>
      <w:r w:rsidR="0084466B" w:rsidRPr="002E018D">
        <w:rPr>
          <w:rFonts w:ascii="Arial" w:hAnsi="Arial" w:cs="Arial"/>
        </w:rPr>
        <w:t xml:space="preserve"> competent</w:t>
      </w:r>
      <w:r w:rsidR="00AE2E3D">
        <w:rPr>
          <w:rFonts w:ascii="Arial" w:hAnsi="Arial" w:cs="Arial"/>
        </w:rPr>
        <w:t xml:space="preserve"> and </w:t>
      </w:r>
      <w:r w:rsidR="00DC401D" w:rsidRPr="002E018D">
        <w:rPr>
          <w:rFonts w:ascii="Arial" w:hAnsi="Arial" w:cs="Arial"/>
        </w:rPr>
        <w:t>differentiated leader</w:t>
      </w:r>
      <w:r>
        <w:rPr>
          <w:rFonts w:ascii="Arial" w:hAnsi="Arial" w:cs="Arial"/>
        </w:rPr>
        <w:t>, as</w:t>
      </w:r>
      <w:r w:rsidR="00DC401D" w:rsidRPr="002E018D">
        <w:rPr>
          <w:rFonts w:ascii="Arial" w:hAnsi="Arial" w:cs="Arial"/>
        </w:rPr>
        <w:t xml:space="preserve"> discussed in articles 1 and 2. </w:t>
      </w:r>
      <w:r w:rsidR="00BD29CC" w:rsidRPr="002E018D">
        <w:rPr>
          <w:rFonts w:ascii="Arial" w:hAnsi="Arial" w:cs="Arial"/>
        </w:rPr>
        <w:t xml:space="preserve">Leveraging the </w:t>
      </w:r>
      <w:r w:rsidR="00E7240B" w:rsidRPr="002E018D">
        <w:rPr>
          <w:rFonts w:ascii="Arial" w:hAnsi="Arial" w:cs="Arial"/>
        </w:rPr>
        <w:t xml:space="preserve">CVI to address racial inequity has tremendous potential </w:t>
      </w:r>
      <w:r>
        <w:rPr>
          <w:rFonts w:ascii="Arial" w:hAnsi="Arial" w:cs="Arial"/>
        </w:rPr>
        <w:t xml:space="preserve">as an </w:t>
      </w:r>
      <w:r w:rsidR="00CC1205" w:rsidRPr="002E018D">
        <w:rPr>
          <w:rFonts w:ascii="Arial" w:hAnsi="Arial" w:cs="Arial"/>
        </w:rPr>
        <w:t>all</w:t>
      </w:r>
      <w:r>
        <w:rPr>
          <w:rFonts w:ascii="Arial" w:hAnsi="Arial" w:cs="Arial"/>
        </w:rPr>
        <w:t>-</w:t>
      </w:r>
      <w:r w:rsidR="00CC1205" w:rsidRPr="002E018D">
        <w:rPr>
          <w:rFonts w:ascii="Arial" w:hAnsi="Arial" w:cs="Arial"/>
        </w:rPr>
        <w:t xml:space="preserve">propelling mechanism. </w:t>
      </w:r>
    </w:p>
    <w:p w14:paraId="56057075" w14:textId="5BD54425" w:rsidR="00092651" w:rsidRPr="002E018D" w:rsidRDefault="00092651" w:rsidP="00092651">
      <w:pPr>
        <w:spacing w:after="240" w:line="288" w:lineRule="auto"/>
        <w:rPr>
          <w:rFonts w:ascii="Arial" w:hAnsi="Arial" w:cs="Arial"/>
        </w:rPr>
      </w:pPr>
      <w:r w:rsidRPr="002E018D">
        <w:rPr>
          <w:rFonts w:ascii="Arial" w:hAnsi="Arial" w:cs="Arial"/>
        </w:rPr>
        <w:t xml:space="preserve">For example, my CVI </w:t>
      </w:r>
      <w:r w:rsidR="00616054" w:rsidRPr="002E018D">
        <w:rPr>
          <w:rFonts w:ascii="Arial" w:hAnsi="Arial" w:cs="Arial"/>
        </w:rPr>
        <w:t>is</w:t>
      </w:r>
      <w:r w:rsidRPr="002E018D">
        <w:rPr>
          <w:rFonts w:ascii="Arial" w:hAnsi="Arial" w:cs="Arial"/>
        </w:rPr>
        <w:t xml:space="preserve"> MERCHANT</w:t>
      </w:r>
      <w:r w:rsidR="001F2ED4">
        <w:rPr>
          <w:rFonts w:ascii="Arial" w:hAnsi="Arial" w:cs="Arial"/>
        </w:rPr>
        <w:t>–</w:t>
      </w:r>
      <w:r w:rsidRPr="002E018D">
        <w:rPr>
          <w:rFonts w:ascii="Arial" w:hAnsi="Arial" w:cs="Arial"/>
        </w:rPr>
        <w:t xml:space="preserve">INNOVATOR. </w:t>
      </w:r>
      <w:r w:rsidR="00574736" w:rsidRPr="002E018D">
        <w:rPr>
          <w:rFonts w:ascii="Arial" w:hAnsi="Arial" w:cs="Arial"/>
        </w:rPr>
        <w:t xml:space="preserve">My </w:t>
      </w:r>
      <w:r w:rsidRPr="002E018D">
        <w:rPr>
          <w:rFonts w:ascii="Arial" w:hAnsi="Arial" w:cs="Arial"/>
        </w:rPr>
        <w:t>primary core value is Merchant</w:t>
      </w:r>
      <w:r w:rsidR="001F2ED4">
        <w:rPr>
          <w:rFonts w:ascii="Arial" w:hAnsi="Arial" w:cs="Arial"/>
        </w:rPr>
        <w:t xml:space="preserve">, and a </w:t>
      </w:r>
      <w:r w:rsidRPr="002E018D">
        <w:rPr>
          <w:rFonts w:ascii="Arial" w:hAnsi="Arial" w:cs="Arial"/>
        </w:rPr>
        <w:t>Merchant</w:t>
      </w:r>
      <w:r w:rsidR="001F2ED4">
        <w:rPr>
          <w:rFonts w:ascii="Arial" w:hAnsi="Arial" w:cs="Arial"/>
        </w:rPr>
        <w:t>’</w:t>
      </w:r>
      <w:r w:rsidRPr="002E018D">
        <w:rPr>
          <w:rFonts w:ascii="Arial" w:hAnsi="Arial" w:cs="Arial"/>
        </w:rPr>
        <w:t xml:space="preserve">s core value energy is Love. </w:t>
      </w:r>
      <w:r w:rsidR="004B0203" w:rsidRPr="002E018D">
        <w:rPr>
          <w:rFonts w:ascii="Arial" w:hAnsi="Arial" w:cs="Arial"/>
        </w:rPr>
        <w:t xml:space="preserve">In this sense, Love </w:t>
      </w:r>
      <w:r w:rsidR="001F2ED4">
        <w:rPr>
          <w:rFonts w:ascii="Arial" w:hAnsi="Arial" w:cs="Arial"/>
        </w:rPr>
        <w:t xml:space="preserve">is associated with </w:t>
      </w:r>
      <w:r w:rsidR="004B0203" w:rsidRPr="002E018D">
        <w:rPr>
          <w:rFonts w:ascii="Arial" w:hAnsi="Arial" w:cs="Arial"/>
        </w:rPr>
        <w:t>working toward an inspired vision of what can be by nurturing the core values in oneself and</w:t>
      </w:r>
      <w:r w:rsidRPr="002E018D">
        <w:rPr>
          <w:rFonts w:ascii="Arial" w:hAnsi="Arial" w:cs="Arial"/>
        </w:rPr>
        <w:t xml:space="preserve"> others. </w:t>
      </w:r>
      <w:r w:rsidR="00AF07D2" w:rsidRPr="002E018D">
        <w:rPr>
          <w:rFonts w:ascii="Arial" w:hAnsi="Arial" w:cs="Arial"/>
        </w:rPr>
        <w:t xml:space="preserve">I </w:t>
      </w:r>
      <w:r w:rsidRPr="002E018D">
        <w:rPr>
          <w:rFonts w:ascii="Arial" w:hAnsi="Arial" w:cs="Arial"/>
        </w:rPr>
        <w:t xml:space="preserve">thrive at building relationships and providing an inspired vision for those around </w:t>
      </w:r>
      <w:r w:rsidR="005E2850" w:rsidRPr="002E018D">
        <w:rPr>
          <w:rFonts w:ascii="Arial" w:hAnsi="Arial" w:cs="Arial"/>
        </w:rPr>
        <w:t>me</w:t>
      </w:r>
      <w:r w:rsidRPr="002E018D">
        <w:rPr>
          <w:rFonts w:ascii="Arial" w:hAnsi="Arial" w:cs="Arial"/>
        </w:rPr>
        <w:t xml:space="preserve">. </w:t>
      </w:r>
      <w:r w:rsidR="00AF07D2" w:rsidRPr="002E018D">
        <w:rPr>
          <w:rFonts w:ascii="Arial" w:hAnsi="Arial" w:cs="Arial"/>
        </w:rPr>
        <w:t xml:space="preserve">My </w:t>
      </w:r>
      <w:r w:rsidRPr="002E018D">
        <w:rPr>
          <w:rFonts w:ascii="Arial" w:hAnsi="Arial" w:cs="Arial"/>
        </w:rPr>
        <w:t>secondary core value is Innovator</w:t>
      </w:r>
      <w:r w:rsidR="00AB6E6F" w:rsidRPr="002E018D">
        <w:rPr>
          <w:rFonts w:ascii="Arial" w:hAnsi="Arial" w:cs="Arial"/>
        </w:rPr>
        <w:t xml:space="preserve">. </w:t>
      </w:r>
      <w:r w:rsidRPr="002E018D">
        <w:rPr>
          <w:rFonts w:ascii="Arial" w:hAnsi="Arial" w:cs="Arial"/>
        </w:rPr>
        <w:t xml:space="preserve">An </w:t>
      </w:r>
      <w:r w:rsidR="001F2ED4" w:rsidRPr="002E018D">
        <w:rPr>
          <w:rFonts w:ascii="Arial" w:hAnsi="Arial" w:cs="Arial"/>
        </w:rPr>
        <w:t>Innovator</w:t>
      </w:r>
      <w:r w:rsidR="001F2ED4">
        <w:rPr>
          <w:rFonts w:ascii="Arial" w:hAnsi="Arial" w:cs="Arial"/>
        </w:rPr>
        <w:t>’</w:t>
      </w:r>
      <w:r w:rsidR="001F2ED4" w:rsidRPr="002E018D">
        <w:rPr>
          <w:rFonts w:ascii="Arial" w:hAnsi="Arial" w:cs="Arial"/>
        </w:rPr>
        <w:t xml:space="preserve">s </w:t>
      </w:r>
      <w:r w:rsidRPr="002E018D">
        <w:rPr>
          <w:rFonts w:ascii="Arial" w:hAnsi="Arial" w:cs="Arial"/>
        </w:rPr>
        <w:t xml:space="preserve">core value energy is </w:t>
      </w:r>
      <w:r w:rsidR="003E5480" w:rsidRPr="002E018D">
        <w:rPr>
          <w:rFonts w:ascii="Arial" w:hAnsi="Arial" w:cs="Arial"/>
        </w:rPr>
        <w:t>w</w:t>
      </w:r>
      <w:r w:rsidRPr="002E018D">
        <w:rPr>
          <w:rFonts w:ascii="Arial" w:hAnsi="Arial" w:cs="Arial"/>
        </w:rPr>
        <w:t>isdom. Wisdom is the ability to see the way things are</w:t>
      </w:r>
      <w:r w:rsidR="00AB6E6F" w:rsidRPr="002E018D">
        <w:rPr>
          <w:rFonts w:ascii="Arial" w:hAnsi="Arial" w:cs="Arial"/>
        </w:rPr>
        <w:t xml:space="preserve"> </w:t>
      </w:r>
      <w:r w:rsidRPr="002E018D">
        <w:rPr>
          <w:rFonts w:ascii="Arial" w:hAnsi="Arial" w:cs="Arial"/>
        </w:rPr>
        <w:t xml:space="preserve">and discern what to do about </w:t>
      </w:r>
      <w:r w:rsidR="001F2ED4">
        <w:rPr>
          <w:rFonts w:ascii="Arial" w:hAnsi="Arial" w:cs="Arial"/>
        </w:rPr>
        <w:t>them</w:t>
      </w:r>
      <w:r w:rsidRPr="002E018D">
        <w:rPr>
          <w:rFonts w:ascii="Arial" w:hAnsi="Arial" w:cs="Arial"/>
        </w:rPr>
        <w:t xml:space="preserve">. </w:t>
      </w:r>
      <w:r w:rsidR="00AB6E6F" w:rsidRPr="002E018D">
        <w:rPr>
          <w:rFonts w:ascii="Arial" w:hAnsi="Arial" w:cs="Arial"/>
        </w:rPr>
        <w:t xml:space="preserve">I tend to </w:t>
      </w:r>
      <w:r w:rsidRPr="002E018D">
        <w:rPr>
          <w:rFonts w:ascii="Arial" w:hAnsi="Arial" w:cs="Arial"/>
        </w:rPr>
        <w:t>accurately assess situations and provide solutions.</w:t>
      </w:r>
      <w:r w:rsidR="00174636" w:rsidRPr="002E018D">
        <w:rPr>
          <w:rFonts w:ascii="Arial" w:hAnsi="Arial" w:cs="Arial"/>
        </w:rPr>
        <w:t xml:space="preserve"> </w:t>
      </w:r>
      <w:r w:rsidR="00324D09" w:rsidRPr="002E018D">
        <w:rPr>
          <w:rFonts w:ascii="Arial" w:hAnsi="Arial" w:cs="Arial"/>
        </w:rPr>
        <w:t xml:space="preserve">It would </w:t>
      </w:r>
      <w:r w:rsidR="0053764F" w:rsidRPr="002E018D">
        <w:rPr>
          <w:rFonts w:ascii="Arial" w:hAnsi="Arial" w:cs="Arial"/>
        </w:rPr>
        <w:t xml:space="preserve">be </w:t>
      </w:r>
      <w:r w:rsidR="00324D09" w:rsidRPr="002E018D">
        <w:rPr>
          <w:rFonts w:ascii="Arial" w:hAnsi="Arial" w:cs="Arial"/>
        </w:rPr>
        <w:t xml:space="preserve">disheartening to imagine </w:t>
      </w:r>
      <w:r w:rsidR="001F2ED4">
        <w:rPr>
          <w:rFonts w:ascii="Arial" w:hAnsi="Arial" w:cs="Arial"/>
        </w:rPr>
        <w:t xml:space="preserve">myself engaging in a </w:t>
      </w:r>
      <w:r w:rsidR="00324D09" w:rsidRPr="002E018D">
        <w:rPr>
          <w:rFonts w:ascii="Arial" w:hAnsi="Arial" w:cs="Arial"/>
        </w:rPr>
        <w:t>behavior</w:t>
      </w:r>
      <w:r w:rsidR="00B17932" w:rsidRPr="002E018D">
        <w:rPr>
          <w:rFonts w:ascii="Arial" w:hAnsi="Arial" w:cs="Arial"/>
        </w:rPr>
        <w:t xml:space="preserve"> that </w:t>
      </w:r>
      <w:r w:rsidR="0013578B" w:rsidRPr="002E018D">
        <w:rPr>
          <w:rFonts w:ascii="Arial" w:hAnsi="Arial" w:cs="Arial"/>
        </w:rPr>
        <w:t>does not foster a shared value</w:t>
      </w:r>
      <w:r w:rsidR="0053764F" w:rsidRPr="002E018D">
        <w:rPr>
          <w:rFonts w:ascii="Arial" w:hAnsi="Arial" w:cs="Arial"/>
        </w:rPr>
        <w:t xml:space="preserve"> or</w:t>
      </w:r>
      <w:r w:rsidR="00420345" w:rsidRPr="002E018D">
        <w:rPr>
          <w:rFonts w:ascii="Arial" w:hAnsi="Arial" w:cs="Arial"/>
        </w:rPr>
        <w:t xml:space="preserve"> generate wisdom. </w:t>
      </w:r>
      <w:r w:rsidR="00792D84" w:rsidRPr="002E018D">
        <w:rPr>
          <w:rFonts w:ascii="Arial" w:hAnsi="Arial" w:cs="Arial"/>
        </w:rPr>
        <w:t>How might I be</w:t>
      </w:r>
      <w:r w:rsidR="003312B6" w:rsidRPr="002E018D">
        <w:rPr>
          <w:rFonts w:ascii="Arial" w:hAnsi="Arial" w:cs="Arial"/>
        </w:rPr>
        <w:t xml:space="preserve"> devaluing the experiences of women, LGBTQ+</w:t>
      </w:r>
      <w:r w:rsidR="0053764F" w:rsidRPr="002E018D">
        <w:rPr>
          <w:rFonts w:ascii="Arial" w:hAnsi="Arial" w:cs="Arial"/>
        </w:rPr>
        <w:t>,</w:t>
      </w:r>
      <w:r w:rsidR="003312B6" w:rsidRPr="002E018D">
        <w:rPr>
          <w:rFonts w:ascii="Arial" w:hAnsi="Arial" w:cs="Arial"/>
        </w:rPr>
        <w:t xml:space="preserve"> or </w:t>
      </w:r>
      <w:r w:rsidR="009C67EB" w:rsidRPr="002E018D">
        <w:rPr>
          <w:rFonts w:ascii="Arial" w:hAnsi="Arial" w:cs="Arial"/>
        </w:rPr>
        <w:t>differently abled</w:t>
      </w:r>
      <w:r w:rsidR="00540010" w:rsidRPr="002E018D">
        <w:rPr>
          <w:rFonts w:ascii="Arial" w:hAnsi="Arial" w:cs="Arial"/>
        </w:rPr>
        <w:t xml:space="preserve"> individuals</w:t>
      </w:r>
      <w:r w:rsidR="0053764F" w:rsidRPr="002E018D">
        <w:rPr>
          <w:rFonts w:ascii="Arial" w:hAnsi="Arial" w:cs="Arial"/>
        </w:rPr>
        <w:t>?</w:t>
      </w:r>
      <w:r w:rsidR="00540010" w:rsidRPr="002E018D">
        <w:rPr>
          <w:rFonts w:ascii="Arial" w:hAnsi="Arial" w:cs="Arial"/>
        </w:rPr>
        <w:t xml:space="preserve"> </w:t>
      </w:r>
      <w:r w:rsidR="0053764F" w:rsidRPr="002E018D">
        <w:rPr>
          <w:rFonts w:ascii="Arial" w:hAnsi="Arial" w:cs="Arial"/>
        </w:rPr>
        <w:t xml:space="preserve">Alternatively, </w:t>
      </w:r>
      <w:r w:rsidR="00BE4725" w:rsidRPr="002E018D">
        <w:rPr>
          <w:rFonts w:ascii="Arial" w:hAnsi="Arial" w:cs="Arial"/>
        </w:rPr>
        <w:t xml:space="preserve">it would be energizing </w:t>
      </w:r>
      <w:r w:rsidR="00977FB1" w:rsidRPr="002E018D">
        <w:rPr>
          <w:rFonts w:ascii="Arial" w:hAnsi="Arial" w:cs="Arial"/>
        </w:rPr>
        <w:t xml:space="preserve">to learn </w:t>
      </w:r>
      <w:r w:rsidR="00353411" w:rsidRPr="002E018D">
        <w:rPr>
          <w:rFonts w:ascii="Arial" w:hAnsi="Arial" w:cs="Arial"/>
        </w:rPr>
        <w:t xml:space="preserve">how I can better empower people across differences </w:t>
      </w:r>
      <w:r w:rsidR="001F2ED4">
        <w:rPr>
          <w:rFonts w:ascii="Arial" w:hAnsi="Arial" w:cs="Arial"/>
        </w:rPr>
        <w:t xml:space="preserve">and </w:t>
      </w:r>
      <w:r w:rsidR="00353411" w:rsidRPr="002E018D">
        <w:rPr>
          <w:rFonts w:ascii="Arial" w:hAnsi="Arial" w:cs="Arial"/>
        </w:rPr>
        <w:t>race</w:t>
      </w:r>
      <w:r w:rsidR="0016543F" w:rsidRPr="002E018D">
        <w:rPr>
          <w:rFonts w:ascii="Arial" w:hAnsi="Arial" w:cs="Arial"/>
        </w:rPr>
        <w:t>s</w:t>
      </w:r>
      <w:r w:rsidR="00353411" w:rsidRPr="002E018D">
        <w:rPr>
          <w:rFonts w:ascii="Arial" w:hAnsi="Arial" w:cs="Arial"/>
        </w:rPr>
        <w:t>.</w:t>
      </w:r>
      <w:r w:rsidR="00191074" w:rsidRPr="002E018D">
        <w:rPr>
          <w:rFonts w:ascii="Arial" w:hAnsi="Arial" w:cs="Arial"/>
        </w:rPr>
        <w:t xml:space="preserve"> And </w:t>
      </w:r>
      <w:r w:rsidR="001F2ED4">
        <w:rPr>
          <w:rFonts w:ascii="Arial" w:hAnsi="Arial" w:cs="Arial"/>
        </w:rPr>
        <w:t>so</w:t>
      </w:r>
      <w:r w:rsidR="00E749A3" w:rsidRPr="002E018D">
        <w:rPr>
          <w:rFonts w:ascii="Arial" w:hAnsi="Arial" w:cs="Arial"/>
        </w:rPr>
        <w:t>, given that the CVI is incorporate</w:t>
      </w:r>
      <w:r w:rsidR="00E463BF" w:rsidRPr="002E018D">
        <w:rPr>
          <w:rFonts w:ascii="Arial" w:hAnsi="Arial" w:cs="Arial"/>
        </w:rPr>
        <w:t>d</w:t>
      </w:r>
      <w:r w:rsidR="00E749A3" w:rsidRPr="002E018D">
        <w:rPr>
          <w:rFonts w:ascii="Arial" w:hAnsi="Arial" w:cs="Arial"/>
        </w:rPr>
        <w:t xml:space="preserve"> into performance reviews and behavioral </w:t>
      </w:r>
      <w:r w:rsidR="00E463BF" w:rsidRPr="002E018D">
        <w:rPr>
          <w:rFonts w:ascii="Arial" w:hAnsi="Arial" w:cs="Arial"/>
        </w:rPr>
        <w:t>competenc</w:t>
      </w:r>
      <w:r w:rsidR="001B3CA0" w:rsidRPr="002E018D">
        <w:rPr>
          <w:rFonts w:ascii="Arial" w:hAnsi="Arial" w:cs="Arial"/>
        </w:rPr>
        <w:t>i</w:t>
      </w:r>
      <w:r w:rsidR="00E463BF" w:rsidRPr="002E018D">
        <w:rPr>
          <w:rFonts w:ascii="Arial" w:hAnsi="Arial" w:cs="Arial"/>
        </w:rPr>
        <w:t xml:space="preserve">es, organizations </w:t>
      </w:r>
      <w:r w:rsidR="00871639" w:rsidRPr="002E018D">
        <w:rPr>
          <w:rFonts w:ascii="Arial" w:hAnsi="Arial" w:cs="Arial"/>
        </w:rPr>
        <w:t>can</w:t>
      </w:r>
      <w:r w:rsidR="00E463BF" w:rsidRPr="002E018D">
        <w:rPr>
          <w:rFonts w:ascii="Arial" w:hAnsi="Arial" w:cs="Arial"/>
        </w:rPr>
        <w:t xml:space="preserve"> </w:t>
      </w:r>
      <w:r w:rsidR="004E6C76" w:rsidRPr="002E018D">
        <w:rPr>
          <w:rFonts w:ascii="Arial" w:hAnsi="Arial" w:cs="Arial"/>
        </w:rPr>
        <w:t>highlight and celebrate wins</w:t>
      </w:r>
      <w:r w:rsidR="001B3CA0" w:rsidRPr="002E018D">
        <w:rPr>
          <w:rFonts w:ascii="Arial" w:hAnsi="Arial" w:cs="Arial"/>
        </w:rPr>
        <w:t xml:space="preserve"> and internalize behavioral change.</w:t>
      </w:r>
    </w:p>
    <w:p w14:paraId="77345641" w14:textId="1ED4B1B9" w:rsidR="00AA41DB" w:rsidRPr="002E018D" w:rsidRDefault="00CA4039" w:rsidP="00AA41DB">
      <w:pPr>
        <w:spacing w:after="240" w:line="288" w:lineRule="auto"/>
        <w:rPr>
          <w:rFonts w:ascii="Arial" w:hAnsi="Arial" w:cs="Arial"/>
        </w:rPr>
      </w:pPr>
      <w:r w:rsidRPr="002E018D">
        <w:rPr>
          <w:rFonts w:ascii="Arial" w:hAnsi="Arial" w:cs="Arial"/>
        </w:rPr>
        <w:t>S</w:t>
      </w:r>
      <w:r w:rsidR="00FF5441" w:rsidRPr="002E018D">
        <w:rPr>
          <w:rFonts w:ascii="Arial" w:hAnsi="Arial" w:cs="Arial"/>
        </w:rPr>
        <w:t xml:space="preserve">tep </w:t>
      </w:r>
      <w:r w:rsidR="001F2ED4" w:rsidRPr="002E018D">
        <w:rPr>
          <w:rFonts w:ascii="Arial" w:hAnsi="Arial" w:cs="Arial"/>
        </w:rPr>
        <w:t>3</w:t>
      </w:r>
      <w:r w:rsidR="001F2ED4">
        <w:rPr>
          <w:rFonts w:ascii="Arial" w:hAnsi="Arial" w:cs="Arial"/>
        </w:rPr>
        <w:t>:</w:t>
      </w:r>
      <w:r w:rsidR="00FF5441" w:rsidRPr="002E018D">
        <w:rPr>
          <w:rFonts w:ascii="Arial" w:hAnsi="Arial" w:cs="Arial"/>
        </w:rPr>
        <w:t xml:space="preserve"> </w:t>
      </w:r>
      <w:r w:rsidR="00DD7B9C" w:rsidRPr="002E018D">
        <w:rPr>
          <w:rFonts w:ascii="Arial" w:hAnsi="Arial" w:cs="Arial"/>
        </w:rPr>
        <w:t>Organize small wins into policies, processes, practices, and culture (PPP&amp;C)</w:t>
      </w:r>
      <w:r w:rsidRPr="002E018D">
        <w:rPr>
          <w:rFonts w:ascii="Arial" w:hAnsi="Arial" w:cs="Arial"/>
        </w:rPr>
        <w:t>. T</w:t>
      </w:r>
      <w:r w:rsidR="00121792" w:rsidRPr="002E018D">
        <w:rPr>
          <w:rFonts w:ascii="Arial" w:hAnsi="Arial" w:cs="Arial"/>
        </w:rPr>
        <w:t xml:space="preserve">he </w:t>
      </w:r>
      <w:r w:rsidR="00BC3A90" w:rsidRPr="002E018D">
        <w:rPr>
          <w:rFonts w:ascii="Arial" w:hAnsi="Arial" w:cs="Arial"/>
        </w:rPr>
        <w:t>model below sub</w:t>
      </w:r>
      <w:r w:rsidR="001D3211" w:rsidRPr="002E018D">
        <w:rPr>
          <w:rFonts w:ascii="Arial" w:hAnsi="Arial" w:cs="Arial"/>
        </w:rPr>
        <w:t xml:space="preserve">tly and powerfully aligns cultural competence or racial equity </w:t>
      </w:r>
      <w:r w:rsidR="009B2D42" w:rsidRPr="002E018D">
        <w:rPr>
          <w:rFonts w:ascii="Arial" w:hAnsi="Arial" w:cs="Arial"/>
        </w:rPr>
        <w:t xml:space="preserve">through manager performance review questions. </w:t>
      </w:r>
      <w:r w:rsidR="001F2ED4">
        <w:rPr>
          <w:rFonts w:ascii="Arial" w:hAnsi="Arial" w:cs="Arial"/>
        </w:rPr>
        <w:t>T</w:t>
      </w:r>
      <w:r w:rsidR="00AA41DB" w:rsidRPr="002E018D">
        <w:rPr>
          <w:rFonts w:ascii="Arial" w:hAnsi="Arial" w:cs="Arial"/>
        </w:rPr>
        <w:t>raditionally</w:t>
      </w:r>
      <w:r w:rsidR="001F2ED4">
        <w:rPr>
          <w:rFonts w:ascii="Arial" w:hAnsi="Arial" w:cs="Arial"/>
        </w:rPr>
        <w:t>,</w:t>
      </w:r>
      <w:r w:rsidR="00AA41DB" w:rsidRPr="002E018D">
        <w:rPr>
          <w:rFonts w:ascii="Arial" w:hAnsi="Arial" w:cs="Arial"/>
        </w:rPr>
        <w:t xml:space="preserve"> performance </w:t>
      </w:r>
      <w:r w:rsidR="00343F64" w:rsidRPr="002E018D">
        <w:rPr>
          <w:rFonts w:ascii="Arial" w:hAnsi="Arial" w:cs="Arial"/>
        </w:rPr>
        <w:t>reviews</w:t>
      </w:r>
      <w:r w:rsidR="00AA41DB" w:rsidRPr="002E018D">
        <w:rPr>
          <w:rFonts w:ascii="Arial" w:hAnsi="Arial" w:cs="Arial"/>
        </w:rPr>
        <w:t xml:space="preserve"> </w:t>
      </w:r>
    </w:p>
    <w:p w14:paraId="2DDDFDB1" w14:textId="4650404D" w:rsidR="00AA41DB" w:rsidRPr="002E018D" w:rsidRDefault="00AA41DB" w:rsidP="00343F64">
      <w:pPr>
        <w:pStyle w:val="ListParagraph"/>
        <w:numPr>
          <w:ilvl w:val="0"/>
          <w:numId w:val="3"/>
        </w:numPr>
        <w:spacing w:after="240" w:line="288" w:lineRule="auto"/>
        <w:rPr>
          <w:rFonts w:ascii="Arial" w:hAnsi="Arial" w:cs="Arial"/>
        </w:rPr>
      </w:pPr>
      <w:r w:rsidRPr="002E018D">
        <w:rPr>
          <w:rFonts w:ascii="Arial" w:hAnsi="Arial" w:cs="Arial"/>
        </w:rPr>
        <w:t>Focus on employees</w:t>
      </w:r>
      <w:r w:rsidR="001F2ED4">
        <w:rPr>
          <w:rFonts w:ascii="Arial" w:hAnsi="Arial" w:cs="Arial"/>
        </w:rPr>
        <w:t>’</w:t>
      </w:r>
      <w:r w:rsidRPr="002E018D">
        <w:rPr>
          <w:rFonts w:ascii="Arial" w:hAnsi="Arial" w:cs="Arial"/>
        </w:rPr>
        <w:t xml:space="preserve"> strengths and </w:t>
      </w:r>
      <w:r w:rsidR="009C67EB" w:rsidRPr="002E018D">
        <w:rPr>
          <w:rFonts w:ascii="Arial" w:hAnsi="Arial" w:cs="Arial"/>
        </w:rPr>
        <w:t>weaknesses.</w:t>
      </w:r>
      <w:r w:rsidRPr="002E018D">
        <w:rPr>
          <w:rFonts w:ascii="Arial" w:hAnsi="Arial" w:cs="Arial"/>
        </w:rPr>
        <w:t xml:space="preserve"> </w:t>
      </w:r>
    </w:p>
    <w:p w14:paraId="385A2F5E" w14:textId="0FBFB546" w:rsidR="00AA41DB" w:rsidRPr="002E018D" w:rsidRDefault="00AA41DB" w:rsidP="00343F64">
      <w:pPr>
        <w:pStyle w:val="ListParagraph"/>
        <w:numPr>
          <w:ilvl w:val="0"/>
          <w:numId w:val="3"/>
        </w:numPr>
        <w:spacing w:after="240" w:line="288" w:lineRule="auto"/>
        <w:rPr>
          <w:rFonts w:ascii="Arial" w:hAnsi="Arial" w:cs="Arial"/>
        </w:rPr>
      </w:pPr>
      <w:r w:rsidRPr="002E018D">
        <w:rPr>
          <w:rFonts w:ascii="Arial" w:hAnsi="Arial" w:cs="Arial"/>
        </w:rPr>
        <w:t>Map</w:t>
      </w:r>
      <w:r w:rsidR="001F2ED4">
        <w:rPr>
          <w:rFonts w:ascii="Arial" w:hAnsi="Arial" w:cs="Arial"/>
        </w:rPr>
        <w:t xml:space="preserve"> the </w:t>
      </w:r>
      <w:r w:rsidRPr="002E018D">
        <w:rPr>
          <w:rFonts w:ascii="Arial" w:hAnsi="Arial" w:cs="Arial"/>
        </w:rPr>
        <w:t>alignment between organizational/</w:t>
      </w:r>
      <w:r w:rsidR="009C67EB" w:rsidRPr="002E018D">
        <w:rPr>
          <w:rFonts w:ascii="Arial" w:hAnsi="Arial" w:cs="Arial"/>
        </w:rPr>
        <w:t>managerial expectations</w:t>
      </w:r>
      <w:r w:rsidRPr="002E018D">
        <w:rPr>
          <w:rFonts w:ascii="Arial" w:hAnsi="Arial" w:cs="Arial"/>
        </w:rPr>
        <w:t xml:space="preserve"> and employee output</w:t>
      </w:r>
      <w:r w:rsidR="001F2ED4">
        <w:rPr>
          <w:rFonts w:ascii="Arial" w:hAnsi="Arial" w:cs="Arial"/>
        </w:rPr>
        <w:t>s.</w:t>
      </w:r>
      <w:r w:rsidRPr="002E018D">
        <w:rPr>
          <w:rFonts w:ascii="Arial" w:hAnsi="Arial" w:cs="Arial"/>
        </w:rPr>
        <w:t xml:space="preserve"> </w:t>
      </w:r>
    </w:p>
    <w:p w14:paraId="3448FF5E" w14:textId="3A8641C5" w:rsidR="00343F64" w:rsidRPr="002E018D" w:rsidRDefault="00AA41DB" w:rsidP="00343F64">
      <w:pPr>
        <w:pStyle w:val="ListParagraph"/>
        <w:numPr>
          <w:ilvl w:val="0"/>
          <w:numId w:val="3"/>
        </w:numPr>
        <w:spacing w:after="240" w:line="288" w:lineRule="auto"/>
        <w:rPr>
          <w:rFonts w:ascii="Arial" w:hAnsi="Arial" w:cs="Arial"/>
        </w:rPr>
      </w:pPr>
      <w:r w:rsidRPr="002E018D">
        <w:rPr>
          <w:rFonts w:ascii="Arial" w:hAnsi="Arial" w:cs="Arial"/>
        </w:rPr>
        <w:lastRenderedPageBreak/>
        <w:t>Identif</w:t>
      </w:r>
      <w:r w:rsidR="001F2ED4">
        <w:rPr>
          <w:rFonts w:ascii="Arial" w:hAnsi="Arial" w:cs="Arial"/>
        </w:rPr>
        <w:t>y</w:t>
      </w:r>
      <w:r w:rsidRPr="002E018D">
        <w:rPr>
          <w:rFonts w:ascii="Arial" w:hAnsi="Arial" w:cs="Arial"/>
        </w:rPr>
        <w:t xml:space="preserve"> areas where </w:t>
      </w:r>
      <w:r w:rsidR="001F2ED4" w:rsidRPr="002E018D">
        <w:rPr>
          <w:rFonts w:ascii="Arial" w:hAnsi="Arial" w:cs="Arial"/>
        </w:rPr>
        <w:t>employees</w:t>
      </w:r>
      <w:r w:rsidR="001F2ED4">
        <w:rPr>
          <w:rFonts w:ascii="Arial" w:hAnsi="Arial" w:cs="Arial"/>
        </w:rPr>
        <w:t>’</w:t>
      </w:r>
      <w:r w:rsidR="001F2ED4" w:rsidRPr="002E018D">
        <w:rPr>
          <w:rFonts w:ascii="Arial" w:hAnsi="Arial" w:cs="Arial"/>
        </w:rPr>
        <w:t xml:space="preserve"> </w:t>
      </w:r>
      <w:r w:rsidRPr="002E018D">
        <w:rPr>
          <w:rFonts w:ascii="Arial" w:hAnsi="Arial" w:cs="Arial"/>
        </w:rPr>
        <w:t>skills can be improved upon</w:t>
      </w:r>
      <w:r w:rsidR="001F2ED4">
        <w:rPr>
          <w:rFonts w:ascii="Arial" w:hAnsi="Arial" w:cs="Arial"/>
        </w:rPr>
        <w:t>.</w:t>
      </w:r>
    </w:p>
    <w:p w14:paraId="256AACB2" w14:textId="3AB7334E" w:rsidR="00343F64" w:rsidRPr="002E018D" w:rsidRDefault="00343F64" w:rsidP="00343F64">
      <w:pPr>
        <w:pStyle w:val="ListParagraph"/>
        <w:spacing w:after="240" w:line="288" w:lineRule="auto"/>
        <w:rPr>
          <w:rFonts w:ascii="Arial" w:hAnsi="Arial" w:cs="Arial"/>
        </w:rPr>
      </w:pPr>
    </w:p>
    <w:p w14:paraId="2D27A72B" w14:textId="4F36A28E" w:rsidR="007625A1" w:rsidRPr="002E018D" w:rsidRDefault="001F2ED4" w:rsidP="00343F64">
      <w:pPr>
        <w:spacing w:after="240" w:line="288" w:lineRule="auto"/>
        <w:rPr>
          <w:rFonts w:ascii="Arial" w:hAnsi="Arial" w:cs="Arial"/>
        </w:rPr>
      </w:pPr>
      <w:r>
        <w:rPr>
          <w:rFonts w:ascii="Arial" w:hAnsi="Arial" w:cs="Arial"/>
        </w:rPr>
        <w:t xml:space="preserve">My </w:t>
      </w:r>
      <w:r w:rsidR="00ED68AD" w:rsidRPr="002E018D">
        <w:rPr>
          <w:rFonts w:ascii="Arial" w:hAnsi="Arial" w:cs="Arial"/>
        </w:rPr>
        <w:t>c</w:t>
      </w:r>
      <w:r w:rsidR="00AA41DB" w:rsidRPr="002E018D">
        <w:rPr>
          <w:rFonts w:ascii="Arial" w:hAnsi="Arial" w:cs="Arial"/>
        </w:rPr>
        <w:t>hallenge</w:t>
      </w:r>
      <w:r>
        <w:rPr>
          <w:rFonts w:ascii="Arial" w:hAnsi="Arial" w:cs="Arial"/>
        </w:rPr>
        <w:t>s</w:t>
      </w:r>
      <w:r w:rsidR="005C3877" w:rsidRPr="002E018D">
        <w:rPr>
          <w:rFonts w:ascii="Arial" w:hAnsi="Arial" w:cs="Arial"/>
        </w:rPr>
        <w:t xml:space="preserve"> </w:t>
      </w:r>
      <w:r>
        <w:rPr>
          <w:rFonts w:ascii="Arial" w:hAnsi="Arial" w:cs="Arial"/>
        </w:rPr>
        <w:t xml:space="preserve">lie in </w:t>
      </w:r>
      <w:r w:rsidR="005C3877" w:rsidRPr="002E018D">
        <w:rPr>
          <w:rFonts w:ascii="Arial" w:hAnsi="Arial" w:cs="Arial"/>
        </w:rPr>
        <w:t xml:space="preserve">my </w:t>
      </w:r>
      <w:r w:rsidR="00AA41DB" w:rsidRPr="002E018D">
        <w:rPr>
          <w:rFonts w:ascii="Arial" w:hAnsi="Arial" w:cs="Arial"/>
        </w:rPr>
        <w:t xml:space="preserve">conscious </w:t>
      </w:r>
      <w:r>
        <w:rPr>
          <w:rFonts w:ascii="Arial" w:hAnsi="Arial" w:cs="Arial"/>
        </w:rPr>
        <w:t>and</w:t>
      </w:r>
      <w:r w:rsidRPr="002E018D">
        <w:rPr>
          <w:rFonts w:ascii="Arial" w:hAnsi="Arial" w:cs="Arial"/>
        </w:rPr>
        <w:t xml:space="preserve"> </w:t>
      </w:r>
      <w:r w:rsidR="00AA41DB" w:rsidRPr="002E018D">
        <w:rPr>
          <w:rFonts w:ascii="Arial" w:hAnsi="Arial" w:cs="Arial"/>
        </w:rPr>
        <w:t>unconscious biases</w:t>
      </w:r>
      <w:r>
        <w:rPr>
          <w:rFonts w:ascii="Arial" w:hAnsi="Arial" w:cs="Arial"/>
        </w:rPr>
        <w:t>; they</w:t>
      </w:r>
      <w:r w:rsidR="00D52615" w:rsidRPr="002E018D">
        <w:rPr>
          <w:rFonts w:ascii="Arial" w:hAnsi="Arial" w:cs="Arial"/>
        </w:rPr>
        <w:t xml:space="preserve"> </w:t>
      </w:r>
      <w:r w:rsidR="00950B34" w:rsidRPr="002E018D">
        <w:rPr>
          <w:rFonts w:ascii="Arial" w:hAnsi="Arial" w:cs="Arial"/>
        </w:rPr>
        <w:t>are</w:t>
      </w:r>
      <w:r w:rsidR="00D52615" w:rsidRPr="002E018D">
        <w:rPr>
          <w:rFonts w:ascii="Arial" w:hAnsi="Arial" w:cs="Arial"/>
        </w:rPr>
        <w:t xml:space="preserve"> barrier</w:t>
      </w:r>
      <w:r>
        <w:rPr>
          <w:rFonts w:ascii="Arial" w:hAnsi="Arial" w:cs="Arial"/>
        </w:rPr>
        <w:t>s</w:t>
      </w:r>
      <w:r w:rsidR="00D52615" w:rsidRPr="002E018D">
        <w:rPr>
          <w:rFonts w:ascii="Arial" w:hAnsi="Arial" w:cs="Arial"/>
        </w:rPr>
        <w:t xml:space="preserve"> to </w:t>
      </w:r>
      <w:r w:rsidR="00AD30EB" w:rsidRPr="002E018D">
        <w:rPr>
          <w:rFonts w:ascii="Arial" w:hAnsi="Arial" w:cs="Arial"/>
        </w:rPr>
        <w:t xml:space="preserve">finding shared </w:t>
      </w:r>
      <w:r w:rsidR="00F82B34" w:rsidRPr="002E018D">
        <w:rPr>
          <w:rFonts w:ascii="Arial" w:hAnsi="Arial" w:cs="Arial"/>
        </w:rPr>
        <w:t xml:space="preserve">purpose and fostering </w:t>
      </w:r>
      <w:r w:rsidR="00366FBA" w:rsidRPr="002E018D">
        <w:rPr>
          <w:rFonts w:ascii="Arial" w:hAnsi="Arial" w:cs="Arial"/>
        </w:rPr>
        <w:t xml:space="preserve">innovation by valuing someone </w:t>
      </w:r>
      <w:r w:rsidRPr="002E018D">
        <w:rPr>
          <w:rFonts w:ascii="Arial" w:hAnsi="Arial" w:cs="Arial"/>
        </w:rPr>
        <w:t>else</w:t>
      </w:r>
      <w:r>
        <w:rPr>
          <w:rFonts w:ascii="Arial" w:hAnsi="Arial" w:cs="Arial"/>
        </w:rPr>
        <w:t>’</w:t>
      </w:r>
      <w:r w:rsidRPr="002E018D">
        <w:rPr>
          <w:rFonts w:ascii="Arial" w:hAnsi="Arial" w:cs="Arial"/>
        </w:rPr>
        <w:t xml:space="preserve">s </w:t>
      </w:r>
      <w:r w:rsidR="00366FBA" w:rsidRPr="002E018D">
        <w:rPr>
          <w:rFonts w:ascii="Arial" w:hAnsi="Arial" w:cs="Arial"/>
        </w:rPr>
        <w:t xml:space="preserve">uniqueness. </w:t>
      </w:r>
      <w:r w:rsidR="00C028E5" w:rsidRPr="002E018D">
        <w:rPr>
          <w:rFonts w:ascii="Arial" w:hAnsi="Arial" w:cs="Arial"/>
        </w:rPr>
        <w:t xml:space="preserve">As a manager, I could ask myself and my direct reports </w:t>
      </w:r>
      <w:r>
        <w:rPr>
          <w:rFonts w:ascii="Arial" w:hAnsi="Arial" w:cs="Arial"/>
        </w:rPr>
        <w:t xml:space="preserve">the </w:t>
      </w:r>
      <w:r w:rsidR="00C028E5" w:rsidRPr="002E018D">
        <w:rPr>
          <w:rFonts w:ascii="Arial" w:hAnsi="Arial" w:cs="Arial"/>
        </w:rPr>
        <w:t>three questions</w:t>
      </w:r>
      <w:r>
        <w:rPr>
          <w:rFonts w:ascii="Arial" w:hAnsi="Arial" w:cs="Arial"/>
        </w:rPr>
        <w:t xml:space="preserve"> seen </w:t>
      </w:r>
      <w:r w:rsidR="009D5A5E" w:rsidRPr="002E018D">
        <w:rPr>
          <w:rFonts w:ascii="Arial" w:hAnsi="Arial" w:cs="Arial"/>
        </w:rPr>
        <w:t>in the figure below</w:t>
      </w:r>
      <w:r w:rsidR="0012671D" w:rsidRPr="002E018D">
        <w:rPr>
          <w:rFonts w:ascii="Arial" w:hAnsi="Arial" w:cs="Arial"/>
        </w:rPr>
        <w:t>.</w:t>
      </w:r>
    </w:p>
    <w:p w14:paraId="37AD48B9" w14:textId="7AE50AE6" w:rsidR="0012671D" w:rsidRPr="002E018D" w:rsidRDefault="402106DA" w:rsidP="0012671D">
      <w:pPr>
        <w:spacing w:after="240" w:line="288" w:lineRule="auto"/>
        <w:rPr>
          <w:rFonts w:ascii="Arial" w:hAnsi="Arial" w:cs="Arial"/>
        </w:rPr>
      </w:pPr>
      <w:r>
        <w:rPr>
          <w:noProof/>
        </w:rPr>
        <w:drawing>
          <wp:anchor distT="0" distB="0" distL="114300" distR="114300" simplePos="0" relativeHeight="251658240" behindDoc="0" locked="0" layoutInCell="1" allowOverlap="1" wp14:anchorId="5C3521A2" wp14:editId="338B1D05">
            <wp:simplePos x="0" y="0"/>
            <wp:positionH relativeFrom="margin">
              <wp:align>left</wp:align>
            </wp:positionH>
            <wp:positionV relativeFrom="paragraph">
              <wp:posOffset>118745</wp:posOffset>
            </wp:positionV>
            <wp:extent cx="3403600" cy="2526030"/>
            <wp:effectExtent l="133350" t="114300" r="139700" b="160020"/>
            <wp:wrapSquare wrapText="bothSides"/>
            <wp:docPr id="10" name="Picture 10"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1">
                      <a:extLst>
                        <a:ext uri="{28A0092B-C50C-407E-A947-70E740481C1C}">
                          <a14:useLocalDpi xmlns:a14="http://schemas.microsoft.com/office/drawing/2010/main" val="0"/>
                        </a:ext>
                      </a:extLst>
                    </a:blip>
                    <a:srcRect/>
                    <a:stretch>
                      <a:fillRect/>
                    </a:stretch>
                  </pic:blipFill>
                  <pic:spPr>
                    <a:xfrm>
                      <a:off x="0" y="0"/>
                      <a:ext cx="3403600" cy="25260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CE5678" w:rsidRPr="002E018D">
        <w:rPr>
          <w:rFonts w:ascii="Arial" w:hAnsi="Arial" w:cs="Arial"/>
        </w:rPr>
        <w:t>This small win, if appropriately embedded with</w:t>
      </w:r>
      <w:r w:rsidR="00D13AD2" w:rsidRPr="002E018D">
        <w:rPr>
          <w:rFonts w:ascii="Arial" w:hAnsi="Arial" w:cs="Arial"/>
        </w:rPr>
        <w:t>in executive and manager 360s</w:t>
      </w:r>
      <w:r w:rsidR="00950B34" w:rsidRPr="002E018D">
        <w:rPr>
          <w:rFonts w:ascii="Arial" w:hAnsi="Arial" w:cs="Arial"/>
        </w:rPr>
        <w:t>,</w:t>
      </w:r>
      <w:r w:rsidR="00D13AD2" w:rsidRPr="002E018D">
        <w:rPr>
          <w:rFonts w:ascii="Arial" w:hAnsi="Arial" w:cs="Arial"/>
        </w:rPr>
        <w:t xml:space="preserve"> </w:t>
      </w:r>
      <w:r w:rsidR="00121027" w:rsidRPr="002E018D">
        <w:rPr>
          <w:rFonts w:ascii="Arial" w:hAnsi="Arial" w:cs="Arial"/>
        </w:rPr>
        <w:t>opens the door to other related questions that foster racial equity</w:t>
      </w:r>
      <w:r w:rsidR="000A0C78" w:rsidRPr="002E018D">
        <w:rPr>
          <w:rFonts w:ascii="Arial" w:hAnsi="Arial" w:cs="Arial"/>
        </w:rPr>
        <w:t>. D</w:t>
      </w:r>
      <w:r w:rsidR="0012671D" w:rsidRPr="002E018D">
        <w:rPr>
          <w:rFonts w:ascii="Arial" w:hAnsi="Arial" w:cs="Arial"/>
        </w:rPr>
        <w:t>o you</w:t>
      </w:r>
      <w:r w:rsidR="007D5719">
        <w:rPr>
          <w:rFonts w:ascii="Arial" w:hAnsi="Arial" w:cs="Arial"/>
        </w:rPr>
        <w:t>:</w:t>
      </w:r>
    </w:p>
    <w:p w14:paraId="0DCBA180" w14:textId="6319BA8D" w:rsidR="0012671D" w:rsidRPr="002E018D" w:rsidRDefault="0012671D" w:rsidP="00617DB4">
      <w:pPr>
        <w:pStyle w:val="ListParagraph"/>
        <w:numPr>
          <w:ilvl w:val="0"/>
          <w:numId w:val="6"/>
        </w:numPr>
        <w:spacing w:after="240" w:line="288" w:lineRule="auto"/>
        <w:rPr>
          <w:rFonts w:ascii="Arial" w:hAnsi="Arial" w:cs="Arial"/>
        </w:rPr>
      </w:pPr>
      <w:r w:rsidRPr="002E018D">
        <w:rPr>
          <w:rFonts w:ascii="Arial" w:hAnsi="Arial" w:cs="Arial"/>
        </w:rPr>
        <w:t>Examine your own thoughts, language</w:t>
      </w:r>
      <w:r w:rsidR="00950B34" w:rsidRPr="002E018D">
        <w:rPr>
          <w:rFonts w:ascii="Arial" w:hAnsi="Arial" w:cs="Arial"/>
        </w:rPr>
        <w:t>,</w:t>
      </w:r>
      <w:r w:rsidRPr="002E018D">
        <w:rPr>
          <w:rFonts w:ascii="Arial" w:hAnsi="Arial" w:cs="Arial"/>
        </w:rPr>
        <w:t xml:space="preserve"> and behavior for assumptions and stereotypical responses?</w:t>
      </w:r>
    </w:p>
    <w:p w14:paraId="57FF5921" w14:textId="77777777" w:rsidR="0012671D" w:rsidRPr="002E018D" w:rsidRDefault="0012671D" w:rsidP="00617DB4">
      <w:pPr>
        <w:pStyle w:val="ListParagraph"/>
        <w:numPr>
          <w:ilvl w:val="0"/>
          <w:numId w:val="6"/>
        </w:numPr>
        <w:spacing w:after="240" w:line="288" w:lineRule="auto"/>
        <w:rPr>
          <w:rFonts w:ascii="Arial" w:hAnsi="Arial" w:cs="Arial"/>
        </w:rPr>
      </w:pPr>
      <w:r w:rsidRPr="002E018D">
        <w:rPr>
          <w:rFonts w:ascii="Arial" w:hAnsi="Arial" w:cs="Arial"/>
        </w:rPr>
        <w:t>Deal with personal biases by considering the viewpoints of others?</w:t>
      </w:r>
    </w:p>
    <w:p w14:paraId="7A0B3894" w14:textId="25578B23" w:rsidR="0012671D" w:rsidRPr="002E018D" w:rsidRDefault="0012671D" w:rsidP="00617DB4">
      <w:pPr>
        <w:pStyle w:val="ListParagraph"/>
        <w:numPr>
          <w:ilvl w:val="0"/>
          <w:numId w:val="6"/>
        </w:numPr>
        <w:spacing w:after="240" w:line="288" w:lineRule="auto"/>
        <w:rPr>
          <w:rFonts w:ascii="Arial" w:hAnsi="Arial" w:cs="Arial"/>
        </w:rPr>
      </w:pPr>
      <w:r w:rsidRPr="002E018D">
        <w:rPr>
          <w:rFonts w:ascii="Arial" w:hAnsi="Arial" w:cs="Arial"/>
        </w:rPr>
        <w:t>Build relationships to acknowledge, appreciate</w:t>
      </w:r>
      <w:r w:rsidR="001F2ED4">
        <w:rPr>
          <w:rFonts w:ascii="Arial" w:hAnsi="Arial" w:cs="Arial"/>
        </w:rPr>
        <w:t>,</w:t>
      </w:r>
      <w:r w:rsidRPr="002E018D">
        <w:rPr>
          <w:rFonts w:ascii="Arial" w:hAnsi="Arial" w:cs="Arial"/>
        </w:rPr>
        <w:t xml:space="preserve"> and learn from individuals who are similar and different?</w:t>
      </w:r>
    </w:p>
    <w:p w14:paraId="4BA08506" w14:textId="3D4A4762" w:rsidR="00AF333E" w:rsidRPr="002E018D" w:rsidRDefault="0012671D" w:rsidP="00AF333E">
      <w:pPr>
        <w:pStyle w:val="ListParagraph"/>
        <w:numPr>
          <w:ilvl w:val="0"/>
          <w:numId w:val="6"/>
        </w:numPr>
        <w:spacing w:after="240" w:line="288" w:lineRule="auto"/>
        <w:rPr>
          <w:rFonts w:ascii="Arial" w:hAnsi="Arial" w:cs="Arial"/>
        </w:rPr>
      </w:pPr>
      <w:r w:rsidRPr="002E018D">
        <w:rPr>
          <w:rFonts w:ascii="Arial" w:hAnsi="Arial" w:cs="Arial"/>
        </w:rPr>
        <w:t xml:space="preserve">Seek to understand individuals rather than see </w:t>
      </w:r>
      <w:r w:rsidR="00DC65D1">
        <w:rPr>
          <w:rFonts w:ascii="Arial" w:hAnsi="Arial" w:cs="Arial"/>
        </w:rPr>
        <w:t>them</w:t>
      </w:r>
      <w:r w:rsidR="00DC65D1" w:rsidRPr="002E018D">
        <w:rPr>
          <w:rFonts w:ascii="Arial" w:hAnsi="Arial" w:cs="Arial"/>
        </w:rPr>
        <w:t xml:space="preserve"> </w:t>
      </w:r>
      <w:r w:rsidRPr="002E018D">
        <w:rPr>
          <w:rFonts w:ascii="Arial" w:hAnsi="Arial" w:cs="Arial"/>
        </w:rPr>
        <w:t>as representatives of a group?</w:t>
      </w:r>
    </w:p>
    <w:p w14:paraId="52AE92EB" w14:textId="064984EA" w:rsidR="00AF333E" w:rsidRDefault="00AF333E" w:rsidP="00AF333E">
      <w:pPr>
        <w:spacing w:after="240" w:line="288" w:lineRule="auto"/>
        <w:rPr>
          <w:rFonts w:ascii="Arial" w:hAnsi="Arial" w:cs="Arial"/>
        </w:rPr>
      </w:pPr>
      <w:r w:rsidRPr="002E018D">
        <w:rPr>
          <w:rFonts w:ascii="Arial" w:hAnsi="Arial" w:cs="Arial"/>
        </w:rPr>
        <w:t>Th</w:t>
      </w:r>
      <w:r w:rsidR="00DE50AD">
        <w:rPr>
          <w:rFonts w:ascii="Arial" w:hAnsi="Arial" w:cs="Arial"/>
        </w:rPr>
        <w:t>is</w:t>
      </w:r>
      <w:r w:rsidRPr="002E018D">
        <w:rPr>
          <w:rFonts w:ascii="Arial" w:hAnsi="Arial" w:cs="Arial"/>
        </w:rPr>
        <w:t xml:space="preserve"> article in the series </w:t>
      </w:r>
      <w:r w:rsidR="009716F0" w:rsidRPr="002E018D">
        <w:rPr>
          <w:rFonts w:ascii="Arial" w:hAnsi="Arial" w:cs="Arial"/>
        </w:rPr>
        <w:t>illustrated how the th</w:t>
      </w:r>
      <w:r w:rsidR="00950B34" w:rsidRPr="002E018D">
        <w:rPr>
          <w:rFonts w:ascii="Arial" w:hAnsi="Arial" w:cs="Arial"/>
        </w:rPr>
        <w:t>eor</w:t>
      </w:r>
      <w:r w:rsidR="009716F0" w:rsidRPr="002E018D">
        <w:rPr>
          <w:rFonts w:ascii="Arial" w:hAnsi="Arial" w:cs="Arial"/>
        </w:rPr>
        <w:t xml:space="preserve">y of </w:t>
      </w:r>
      <w:r w:rsidRPr="002E018D">
        <w:rPr>
          <w:rFonts w:ascii="Arial" w:hAnsi="Arial" w:cs="Arial"/>
        </w:rPr>
        <w:t>small wins</w:t>
      </w:r>
      <w:r w:rsidR="00DC65D1">
        <w:rPr>
          <w:rFonts w:ascii="Arial" w:hAnsi="Arial" w:cs="Arial"/>
        </w:rPr>
        <w:t xml:space="preserve"> </w:t>
      </w:r>
      <w:r w:rsidRPr="002E018D">
        <w:rPr>
          <w:rFonts w:ascii="Arial" w:hAnsi="Arial" w:cs="Arial"/>
        </w:rPr>
        <w:t xml:space="preserve">can reduce individual and organizational </w:t>
      </w:r>
      <w:r w:rsidR="00AE2E3D" w:rsidRPr="002E018D">
        <w:rPr>
          <w:rFonts w:ascii="Arial" w:hAnsi="Arial" w:cs="Arial"/>
        </w:rPr>
        <w:t>anxiet</w:t>
      </w:r>
      <w:r w:rsidR="00AE2E3D">
        <w:rPr>
          <w:rFonts w:ascii="Arial" w:hAnsi="Arial" w:cs="Arial"/>
        </w:rPr>
        <w:t>ies</w:t>
      </w:r>
      <w:r w:rsidR="00AE2E3D" w:rsidRPr="002E018D">
        <w:rPr>
          <w:rFonts w:ascii="Arial" w:hAnsi="Arial" w:cs="Arial"/>
        </w:rPr>
        <w:t xml:space="preserve"> </w:t>
      </w:r>
      <w:r w:rsidRPr="002E018D">
        <w:rPr>
          <w:rFonts w:ascii="Arial" w:hAnsi="Arial" w:cs="Arial"/>
        </w:rPr>
        <w:t>on race and racism</w:t>
      </w:r>
      <w:r w:rsidR="00DC65D1">
        <w:rPr>
          <w:rFonts w:ascii="Arial" w:hAnsi="Arial" w:cs="Arial"/>
        </w:rPr>
        <w:t>,</w:t>
      </w:r>
      <w:r w:rsidRPr="002E018D">
        <w:rPr>
          <w:rFonts w:ascii="Arial" w:hAnsi="Arial" w:cs="Arial"/>
        </w:rPr>
        <w:t xml:space="preserve"> and accelerate personal, professional, and organizational effectiveness. </w:t>
      </w:r>
      <w:r w:rsidR="00950B34" w:rsidRPr="002E018D">
        <w:rPr>
          <w:rFonts w:ascii="Arial" w:hAnsi="Arial" w:cs="Arial"/>
        </w:rPr>
        <w:t>In our example</w:t>
      </w:r>
      <w:r w:rsidR="00E656B3" w:rsidRPr="002E018D">
        <w:rPr>
          <w:rFonts w:ascii="Arial" w:hAnsi="Arial" w:cs="Arial"/>
        </w:rPr>
        <w:t>,</w:t>
      </w:r>
      <w:r w:rsidR="00950B34" w:rsidRPr="002E018D">
        <w:rPr>
          <w:rFonts w:ascii="Arial" w:hAnsi="Arial" w:cs="Arial"/>
        </w:rPr>
        <w:t xml:space="preserve"> </w:t>
      </w:r>
      <w:r w:rsidR="00DC65D1">
        <w:rPr>
          <w:rFonts w:ascii="Arial" w:hAnsi="Arial" w:cs="Arial"/>
        </w:rPr>
        <w:t>A</w:t>
      </w:r>
      <w:r w:rsidR="00DC65D1" w:rsidRPr="002E018D">
        <w:rPr>
          <w:rFonts w:ascii="Arial" w:hAnsi="Arial" w:cs="Arial"/>
        </w:rPr>
        <w:t xml:space="preserve">ction </w:t>
      </w:r>
      <w:r w:rsidR="00DC65D1">
        <w:rPr>
          <w:rFonts w:ascii="Arial" w:hAnsi="Arial" w:cs="Arial"/>
        </w:rPr>
        <w:t>I</w:t>
      </w:r>
      <w:r w:rsidR="00DC65D1" w:rsidRPr="002E018D">
        <w:rPr>
          <w:rFonts w:ascii="Arial" w:hAnsi="Arial" w:cs="Arial"/>
        </w:rPr>
        <w:t xml:space="preserve">tems </w:t>
      </w:r>
      <w:r w:rsidR="00E656B3" w:rsidRPr="002E018D">
        <w:rPr>
          <w:rFonts w:ascii="Arial" w:hAnsi="Arial" w:cs="Arial"/>
        </w:rPr>
        <w:t xml:space="preserve">1 and 2 would probably </w:t>
      </w:r>
      <w:r w:rsidR="00871639" w:rsidRPr="002E018D">
        <w:rPr>
          <w:rFonts w:ascii="Arial" w:hAnsi="Arial" w:cs="Arial"/>
        </w:rPr>
        <w:t>be</w:t>
      </w:r>
      <w:r w:rsidR="00E656B3" w:rsidRPr="002E018D">
        <w:rPr>
          <w:rFonts w:ascii="Arial" w:hAnsi="Arial" w:cs="Arial"/>
        </w:rPr>
        <w:t xml:space="preserve"> big wins. </w:t>
      </w:r>
      <w:r w:rsidR="00EB571C" w:rsidRPr="002E018D">
        <w:rPr>
          <w:rFonts w:ascii="Arial" w:hAnsi="Arial" w:cs="Arial"/>
        </w:rPr>
        <w:t xml:space="preserve">They require significant </w:t>
      </w:r>
      <w:r w:rsidR="00E3616B" w:rsidRPr="002E018D">
        <w:rPr>
          <w:rFonts w:ascii="Arial" w:hAnsi="Arial" w:cs="Arial"/>
        </w:rPr>
        <w:t>corporate</w:t>
      </w:r>
      <w:r w:rsidR="00EB571C" w:rsidRPr="002E018D">
        <w:rPr>
          <w:rFonts w:ascii="Arial" w:hAnsi="Arial" w:cs="Arial"/>
        </w:rPr>
        <w:t xml:space="preserve"> </w:t>
      </w:r>
      <w:r w:rsidR="00E3616B" w:rsidRPr="002E018D">
        <w:rPr>
          <w:rFonts w:ascii="Arial" w:hAnsi="Arial" w:cs="Arial"/>
        </w:rPr>
        <w:t xml:space="preserve">and personal commitment. They can also be easily sabotaged. </w:t>
      </w:r>
      <w:r w:rsidR="007D2695" w:rsidRPr="002E018D">
        <w:rPr>
          <w:rFonts w:ascii="Arial" w:hAnsi="Arial" w:cs="Arial"/>
        </w:rPr>
        <w:t xml:space="preserve">In neither example is it clear why instituting the hiring goals or </w:t>
      </w:r>
      <w:r w:rsidR="006B3B15" w:rsidRPr="002E018D">
        <w:rPr>
          <w:rFonts w:ascii="Arial" w:hAnsi="Arial" w:cs="Arial"/>
        </w:rPr>
        <w:t xml:space="preserve">stretch goal advocacy benefits the leader or manager. It is not that these are </w:t>
      </w:r>
      <w:r w:rsidR="00590ED5" w:rsidRPr="002E018D">
        <w:rPr>
          <w:rFonts w:ascii="Arial" w:hAnsi="Arial" w:cs="Arial"/>
        </w:rPr>
        <w:t xml:space="preserve">poor or unnecessary action items. </w:t>
      </w:r>
      <w:r w:rsidR="00736D5C" w:rsidRPr="002E018D">
        <w:rPr>
          <w:rFonts w:ascii="Arial" w:hAnsi="Arial" w:cs="Arial"/>
        </w:rPr>
        <w:t xml:space="preserve">In fact, they are needed action items in any </w:t>
      </w:r>
      <w:r w:rsidR="00DC65D1">
        <w:rPr>
          <w:rFonts w:ascii="Arial" w:hAnsi="Arial" w:cs="Arial"/>
        </w:rPr>
        <w:t>well-</w:t>
      </w:r>
      <w:r w:rsidR="00736D5C" w:rsidRPr="002E018D">
        <w:rPr>
          <w:rFonts w:ascii="Arial" w:hAnsi="Arial" w:cs="Arial"/>
        </w:rPr>
        <w:t xml:space="preserve">crafted </w:t>
      </w:r>
      <w:r w:rsidR="00383159" w:rsidRPr="002E018D">
        <w:rPr>
          <w:rFonts w:ascii="Arial" w:hAnsi="Arial" w:cs="Arial"/>
        </w:rPr>
        <w:t xml:space="preserve">DEI strategy. </w:t>
      </w:r>
      <w:r w:rsidR="007662B7" w:rsidRPr="002E018D">
        <w:rPr>
          <w:rFonts w:ascii="Arial" w:hAnsi="Arial" w:cs="Arial"/>
        </w:rPr>
        <w:t xml:space="preserve">However, </w:t>
      </w:r>
      <w:r w:rsidR="00DC65D1">
        <w:rPr>
          <w:rFonts w:ascii="Arial" w:hAnsi="Arial" w:cs="Arial"/>
        </w:rPr>
        <w:t>A</w:t>
      </w:r>
      <w:r w:rsidR="00DC65D1" w:rsidRPr="002E018D">
        <w:rPr>
          <w:rFonts w:ascii="Arial" w:hAnsi="Arial" w:cs="Arial"/>
        </w:rPr>
        <w:t xml:space="preserve">ction </w:t>
      </w:r>
      <w:r w:rsidR="00DC65D1">
        <w:rPr>
          <w:rFonts w:ascii="Arial" w:hAnsi="Arial" w:cs="Arial"/>
        </w:rPr>
        <w:t>I</w:t>
      </w:r>
      <w:r w:rsidR="00DC65D1" w:rsidRPr="002E018D">
        <w:rPr>
          <w:rFonts w:ascii="Arial" w:hAnsi="Arial" w:cs="Arial"/>
        </w:rPr>
        <w:t xml:space="preserve">tem </w:t>
      </w:r>
      <w:r w:rsidR="007662B7" w:rsidRPr="002E018D">
        <w:rPr>
          <w:rFonts w:ascii="Arial" w:hAnsi="Arial" w:cs="Arial"/>
        </w:rPr>
        <w:t>3</w:t>
      </w:r>
      <w:r w:rsidR="004153A7" w:rsidRPr="002E018D">
        <w:rPr>
          <w:rFonts w:ascii="Arial" w:hAnsi="Arial" w:cs="Arial"/>
        </w:rPr>
        <w:t xml:space="preserve"> creates a win-win for the manager</w:t>
      </w:r>
      <w:r w:rsidR="007662B7" w:rsidRPr="002E018D">
        <w:rPr>
          <w:rFonts w:ascii="Arial" w:hAnsi="Arial" w:cs="Arial"/>
        </w:rPr>
        <w:t xml:space="preserve"> and serves as a catalyst for the prior action </w:t>
      </w:r>
      <w:r w:rsidR="00871639" w:rsidRPr="002E018D">
        <w:rPr>
          <w:rFonts w:ascii="Arial" w:hAnsi="Arial" w:cs="Arial"/>
        </w:rPr>
        <w:t>items.</w:t>
      </w:r>
    </w:p>
    <w:p w14:paraId="4D7CBFD3" w14:textId="6CE384DB" w:rsidR="00FC53F0" w:rsidRPr="002E018D" w:rsidRDefault="005200C0" w:rsidP="00AF333E">
      <w:pPr>
        <w:spacing w:after="240" w:line="288" w:lineRule="auto"/>
        <w:rPr>
          <w:rFonts w:ascii="Arial" w:hAnsi="Arial" w:cs="Arial"/>
        </w:rPr>
      </w:pPr>
      <w:r>
        <w:rPr>
          <w:rFonts w:ascii="Arial" w:hAnsi="Arial" w:cs="Arial"/>
        </w:rPr>
        <w:t xml:space="preserve">While you may not always get excited about small wins, when using Weick’s small wins approach, small wins </w:t>
      </w:r>
      <w:r w:rsidR="00C321BA">
        <w:rPr>
          <w:rFonts w:ascii="Arial" w:hAnsi="Arial" w:cs="Arial"/>
        </w:rPr>
        <w:t>can lead to big results.</w:t>
      </w:r>
    </w:p>
    <w:sectPr w:rsidR="00FC53F0" w:rsidRPr="002E018D" w:rsidSect="007B6A55">
      <w:headerReference w:type="default" r:id="rId12"/>
      <w:pgSz w:w="12240" w:h="15840"/>
      <w:pgMar w:top="108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EA07F" w14:textId="77777777" w:rsidR="00D75C48" w:rsidRDefault="00D75C48" w:rsidP="00242BEF">
      <w:pPr>
        <w:spacing w:after="0" w:line="240" w:lineRule="auto"/>
      </w:pPr>
      <w:r>
        <w:separator/>
      </w:r>
    </w:p>
  </w:endnote>
  <w:endnote w:type="continuationSeparator" w:id="0">
    <w:p w14:paraId="1F1F835A" w14:textId="77777777" w:rsidR="00D75C48" w:rsidRDefault="00D75C48" w:rsidP="00242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29CC0" w14:textId="77777777" w:rsidR="00D75C48" w:rsidRDefault="00D75C48" w:rsidP="00242BEF">
      <w:pPr>
        <w:spacing w:after="0" w:line="240" w:lineRule="auto"/>
      </w:pPr>
      <w:r>
        <w:separator/>
      </w:r>
    </w:p>
  </w:footnote>
  <w:footnote w:type="continuationSeparator" w:id="0">
    <w:p w14:paraId="370062AC" w14:textId="77777777" w:rsidR="00D75C48" w:rsidRDefault="00D75C48" w:rsidP="00242BEF">
      <w:pPr>
        <w:spacing w:after="0" w:line="240" w:lineRule="auto"/>
      </w:pPr>
      <w:r>
        <w:continuationSeparator/>
      </w:r>
    </w:p>
  </w:footnote>
  <w:footnote w:id="1">
    <w:p w14:paraId="56484249" w14:textId="4E01BEDC" w:rsidR="001F2ED4" w:rsidRDefault="001F2ED4">
      <w:pPr>
        <w:pStyle w:val="FootnoteText"/>
      </w:pPr>
      <w:r>
        <w:rPr>
          <w:rStyle w:val="FootnoteReference"/>
        </w:rPr>
        <w:footnoteRef/>
      </w:r>
      <w:r>
        <w:t xml:space="preserve"> Catrien J.A.M. and Art Dewulf, “A small wins framework to overcome the evaluation paradox of governing wicked problems,” page 298.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C1202" w14:textId="7190199F" w:rsidR="001F2ED4" w:rsidRDefault="001F2ED4" w:rsidP="00DD382B">
    <w:pPr>
      <w:pStyle w:val="Header"/>
      <w:jc w:val="center"/>
      <w:rPr>
        <w:rFonts w:ascii="Arial" w:hAnsi="Arial" w:cs="Arial"/>
        <w:b/>
        <w:bCs/>
      </w:rPr>
    </w:pPr>
    <w:r w:rsidRPr="003E1A3E">
      <w:rPr>
        <w:rFonts w:ascii="Arial" w:hAnsi="Arial" w:cs="Arial"/>
        <w:b/>
        <w:bCs/>
      </w:rPr>
      <w:t>Small Wins can be Big Wins for Diversity, Equity, and Inclusive Leaders</w:t>
    </w:r>
  </w:p>
  <w:p w14:paraId="7771DD68" w14:textId="77777777" w:rsidR="001F2ED4" w:rsidRPr="003E1A3E" w:rsidRDefault="001F2ED4" w:rsidP="00DD382B">
    <w:pPr>
      <w:pStyle w:val="Header"/>
      <w:jc w:val="center"/>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9F4A94"/>
    <w:multiLevelType w:val="hybridMultilevel"/>
    <w:tmpl w:val="88E65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2F4CB4"/>
    <w:multiLevelType w:val="hybridMultilevel"/>
    <w:tmpl w:val="C58E6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D47980"/>
    <w:multiLevelType w:val="hybridMultilevel"/>
    <w:tmpl w:val="F39AE938"/>
    <w:lvl w:ilvl="0" w:tplc="8AD4704A">
      <w:start w:val="1"/>
      <w:numFmt w:val="bullet"/>
      <w:lvlText w:val="•"/>
      <w:lvlJc w:val="left"/>
      <w:pPr>
        <w:tabs>
          <w:tab w:val="num" w:pos="720"/>
        </w:tabs>
        <w:ind w:left="720" w:hanging="360"/>
      </w:pPr>
      <w:rPr>
        <w:rFonts w:ascii="Arial" w:hAnsi="Arial" w:hint="default"/>
      </w:rPr>
    </w:lvl>
    <w:lvl w:ilvl="1" w:tplc="3F3677D2" w:tentative="1">
      <w:start w:val="1"/>
      <w:numFmt w:val="bullet"/>
      <w:lvlText w:val="•"/>
      <w:lvlJc w:val="left"/>
      <w:pPr>
        <w:tabs>
          <w:tab w:val="num" w:pos="1440"/>
        </w:tabs>
        <w:ind w:left="1440" w:hanging="360"/>
      </w:pPr>
      <w:rPr>
        <w:rFonts w:ascii="Arial" w:hAnsi="Arial" w:hint="default"/>
      </w:rPr>
    </w:lvl>
    <w:lvl w:ilvl="2" w:tplc="3FC60904" w:tentative="1">
      <w:start w:val="1"/>
      <w:numFmt w:val="bullet"/>
      <w:lvlText w:val="•"/>
      <w:lvlJc w:val="left"/>
      <w:pPr>
        <w:tabs>
          <w:tab w:val="num" w:pos="2160"/>
        </w:tabs>
        <w:ind w:left="2160" w:hanging="360"/>
      </w:pPr>
      <w:rPr>
        <w:rFonts w:ascii="Arial" w:hAnsi="Arial" w:hint="default"/>
      </w:rPr>
    </w:lvl>
    <w:lvl w:ilvl="3" w:tplc="57EEB404" w:tentative="1">
      <w:start w:val="1"/>
      <w:numFmt w:val="bullet"/>
      <w:lvlText w:val="•"/>
      <w:lvlJc w:val="left"/>
      <w:pPr>
        <w:tabs>
          <w:tab w:val="num" w:pos="2880"/>
        </w:tabs>
        <w:ind w:left="2880" w:hanging="360"/>
      </w:pPr>
      <w:rPr>
        <w:rFonts w:ascii="Arial" w:hAnsi="Arial" w:hint="default"/>
      </w:rPr>
    </w:lvl>
    <w:lvl w:ilvl="4" w:tplc="923CAC6C" w:tentative="1">
      <w:start w:val="1"/>
      <w:numFmt w:val="bullet"/>
      <w:lvlText w:val="•"/>
      <w:lvlJc w:val="left"/>
      <w:pPr>
        <w:tabs>
          <w:tab w:val="num" w:pos="3600"/>
        </w:tabs>
        <w:ind w:left="3600" w:hanging="360"/>
      </w:pPr>
      <w:rPr>
        <w:rFonts w:ascii="Arial" w:hAnsi="Arial" w:hint="default"/>
      </w:rPr>
    </w:lvl>
    <w:lvl w:ilvl="5" w:tplc="4DD45546" w:tentative="1">
      <w:start w:val="1"/>
      <w:numFmt w:val="bullet"/>
      <w:lvlText w:val="•"/>
      <w:lvlJc w:val="left"/>
      <w:pPr>
        <w:tabs>
          <w:tab w:val="num" w:pos="4320"/>
        </w:tabs>
        <w:ind w:left="4320" w:hanging="360"/>
      </w:pPr>
      <w:rPr>
        <w:rFonts w:ascii="Arial" w:hAnsi="Arial" w:hint="default"/>
      </w:rPr>
    </w:lvl>
    <w:lvl w:ilvl="6" w:tplc="D9FAD438" w:tentative="1">
      <w:start w:val="1"/>
      <w:numFmt w:val="bullet"/>
      <w:lvlText w:val="•"/>
      <w:lvlJc w:val="left"/>
      <w:pPr>
        <w:tabs>
          <w:tab w:val="num" w:pos="5040"/>
        </w:tabs>
        <w:ind w:left="5040" w:hanging="360"/>
      </w:pPr>
      <w:rPr>
        <w:rFonts w:ascii="Arial" w:hAnsi="Arial" w:hint="default"/>
      </w:rPr>
    </w:lvl>
    <w:lvl w:ilvl="7" w:tplc="129A0344" w:tentative="1">
      <w:start w:val="1"/>
      <w:numFmt w:val="bullet"/>
      <w:lvlText w:val="•"/>
      <w:lvlJc w:val="left"/>
      <w:pPr>
        <w:tabs>
          <w:tab w:val="num" w:pos="5760"/>
        </w:tabs>
        <w:ind w:left="5760" w:hanging="360"/>
      </w:pPr>
      <w:rPr>
        <w:rFonts w:ascii="Arial" w:hAnsi="Arial" w:hint="default"/>
      </w:rPr>
    </w:lvl>
    <w:lvl w:ilvl="8" w:tplc="8D52F05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1277E1B"/>
    <w:multiLevelType w:val="hybridMultilevel"/>
    <w:tmpl w:val="2B607A26"/>
    <w:lvl w:ilvl="0" w:tplc="6B866868">
      <w:start w:val="1"/>
      <w:numFmt w:val="decimal"/>
      <w:lvlText w:val="%1."/>
      <w:lvlJc w:val="left"/>
      <w:pPr>
        <w:tabs>
          <w:tab w:val="num" w:pos="720"/>
        </w:tabs>
        <w:ind w:left="720" w:hanging="360"/>
      </w:pPr>
    </w:lvl>
    <w:lvl w:ilvl="1" w:tplc="BCC0B090" w:tentative="1">
      <w:start w:val="1"/>
      <w:numFmt w:val="decimal"/>
      <w:lvlText w:val="%2."/>
      <w:lvlJc w:val="left"/>
      <w:pPr>
        <w:tabs>
          <w:tab w:val="num" w:pos="1440"/>
        </w:tabs>
        <w:ind w:left="1440" w:hanging="360"/>
      </w:pPr>
    </w:lvl>
    <w:lvl w:ilvl="2" w:tplc="29B68EC8" w:tentative="1">
      <w:start w:val="1"/>
      <w:numFmt w:val="decimal"/>
      <w:lvlText w:val="%3."/>
      <w:lvlJc w:val="left"/>
      <w:pPr>
        <w:tabs>
          <w:tab w:val="num" w:pos="2160"/>
        </w:tabs>
        <w:ind w:left="2160" w:hanging="360"/>
      </w:pPr>
    </w:lvl>
    <w:lvl w:ilvl="3" w:tplc="F93283AC" w:tentative="1">
      <w:start w:val="1"/>
      <w:numFmt w:val="decimal"/>
      <w:lvlText w:val="%4."/>
      <w:lvlJc w:val="left"/>
      <w:pPr>
        <w:tabs>
          <w:tab w:val="num" w:pos="2880"/>
        </w:tabs>
        <w:ind w:left="2880" w:hanging="360"/>
      </w:pPr>
    </w:lvl>
    <w:lvl w:ilvl="4" w:tplc="E5F0AE48" w:tentative="1">
      <w:start w:val="1"/>
      <w:numFmt w:val="decimal"/>
      <w:lvlText w:val="%5."/>
      <w:lvlJc w:val="left"/>
      <w:pPr>
        <w:tabs>
          <w:tab w:val="num" w:pos="3600"/>
        </w:tabs>
        <w:ind w:left="3600" w:hanging="360"/>
      </w:pPr>
    </w:lvl>
    <w:lvl w:ilvl="5" w:tplc="8A6497EA" w:tentative="1">
      <w:start w:val="1"/>
      <w:numFmt w:val="decimal"/>
      <w:lvlText w:val="%6."/>
      <w:lvlJc w:val="left"/>
      <w:pPr>
        <w:tabs>
          <w:tab w:val="num" w:pos="4320"/>
        </w:tabs>
        <w:ind w:left="4320" w:hanging="360"/>
      </w:pPr>
    </w:lvl>
    <w:lvl w:ilvl="6" w:tplc="89C26E22" w:tentative="1">
      <w:start w:val="1"/>
      <w:numFmt w:val="decimal"/>
      <w:lvlText w:val="%7."/>
      <w:lvlJc w:val="left"/>
      <w:pPr>
        <w:tabs>
          <w:tab w:val="num" w:pos="5040"/>
        </w:tabs>
        <w:ind w:left="5040" w:hanging="360"/>
      </w:pPr>
    </w:lvl>
    <w:lvl w:ilvl="7" w:tplc="8A545566" w:tentative="1">
      <w:start w:val="1"/>
      <w:numFmt w:val="decimal"/>
      <w:lvlText w:val="%8."/>
      <w:lvlJc w:val="left"/>
      <w:pPr>
        <w:tabs>
          <w:tab w:val="num" w:pos="5760"/>
        </w:tabs>
        <w:ind w:left="5760" w:hanging="360"/>
      </w:pPr>
    </w:lvl>
    <w:lvl w:ilvl="8" w:tplc="ACC229DC" w:tentative="1">
      <w:start w:val="1"/>
      <w:numFmt w:val="decimal"/>
      <w:lvlText w:val="%9."/>
      <w:lvlJc w:val="left"/>
      <w:pPr>
        <w:tabs>
          <w:tab w:val="num" w:pos="6480"/>
        </w:tabs>
        <w:ind w:left="6480" w:hanging="360"/>
      </w:pPr>
    </w:lvl>
  </w:abstractNum>
  <w:abstractNum w:abstractNumId="4" w15:restartNumberingAfterBreak="0">
    <w:nsid w:val="5FC14518"/>
    <w:multiLevelType w:val="hybridMultilevel"/>
    <w:tmpl w:val="1F7AF1DC"/>
    <w:lvl w:ilvl="0" w:tplc="8530EE7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353DBF"/>
    <w:multiLevelType w:val="hybridMultilevel"/>
    <w:tmpl w:val="2D64C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c2NzYzMLU0MDWyNDZX0lEKTi0uzszPAykwrQUATeltIiwAAAA="/>
  </w:docVars>
  <w:rsids>
    <w:rsidRoot w:val="00C6356E"/>
    <w:rsid w:val="00025FC2"/>
    <w:rsid w:val="000307B5"/>
    <w:rsid w:val="00053E7A"/>
    <w:rsid w:val="000761E7"/>
    <w:rsid w:val="0008483C"/>
    <w:rsid w:val="00092651"/>
    <w:rsid w:val="0009684D"/>
    <w:rsid w:val="000A0C78"/>
    <w:rsid w:val="000A1A33"/>
    <w:rsid w:val="000A7D61"/>
    <w:rsid w:val="000F27ED"/>
    <w:rsid w:val="000F3F28"/>
    <w:rsid w:val="00100032"/>
    <w:rsid w:val="00106DCE"/>
    <w:rsid w:val="00114312"/>
    <w:rsid w:val="00121027"/>
    <w:rsid w:val="00121792"/>
    <w:rsid w:val="00126572"/>
    <w:rsid w:val="0012671D"/>
    <w:rsid w:val="00133FF5"/>
    <w:rsid w:val="00134531"/>
    <w:rsid w:val="0013578B"/>
    <w:rsid w:val="0016543F"/>
    <w:rsid w:val="00171D78"/>
    <w:rsid w:val="00174636"/>
    <w:rsid w:val="00174D3E"/>
    <w:rsid w:val="001874B1"/>
    <w:rsid w:val="00191074"/>
    <w:rsid w:val="00194D63"/>
    <w:rsid w:val="001A0A02"/>
    <w:rsid w:val="001B3CA0"/>
    <w:rsid w:val="001C6A05"/>
    <w:rsid w:val="001D3211"/>
    <w:rsid w:val="001F2ED4"/>
    <w:rsid w:val="002044D7"/>
    <w:rsid w:val="00205346"/>
    <w:rsid w:val="00214ADC"/>
    <w:rsid w:val="00224175"/>
    <w:rsid w:val="00225DE4"/>
    <w:rsid w:val="00233F78"/>
    <w:rsid w:val="00242BEF"/>
    <w:rsid w:val="00262F64"/>
    <w:rsid w:val="00271586"/>
    <w:rsid w:val="00274084"/>
    <w:rsid w:val="00290260"/>
    <w:rsid w:val="00292E63"/>
    <w:rsid w:val="002A65A8"/>
    <w:rsid w:val="002B0D35"/>
    <w:rsid w:val="002B7071"/>
    <w:rsid w:val="002C4E7C"/>
    <w:rsid w:val="002C6632"/>
    <w:rsid w:val="002E018D"/>
    <w:rsid w:val="0031537F"/>
    <w:rsid w:val="00324D09"/>
    <w:rsid w:val="00330959"/>
    <w:rsid w:val="00330C80"/>
    <w:rsid w:val="003312B6"/>
    <w:rsid w:val="003322EF"/>
    <w:rsid w:val="0033328F"/>
    <w:rsid w:val="00343F64"/>
    <w:rsid w:val="0034623A"/>
    <w:rsid w:val="00350A53"/>
    <w:rsid w:val="00353411"/>
    <w:rsid w:val="00366FBA"/>
    <w:rsid w:val="00380F5E"/>
    <w:rsid w:val="00381BB4"/>
    <w:rsid w:val="00383159"/>
    <w:rsid w:val="0038368A"/>
    <w:rsid w:val="00391194"/>
    <w:rsid w:val="003B624B"/>
    <w:rsid w:val="003B6AE2"/>
    <w:rsid w:val="003B6FBC"/>
    <w:rsid w:val="003B736E"/>
    <w:rsid w:val="003B79E9"/>
    <w:rsid w:val="003E1A3E"/>
    <w:rsid w:val="003E5480"/>
    <w:rsid w:val="003F123F"/>
    <w:rsid w:val="0041047B"/>
    <w:rsid w:val="004116DA"/>
    <w:rsid w:val="004153A7"/>
    <w:rsid w:val="004171EB"/>
    <w:rsid w:val="00420345"/>
    <w:rsid w:val="004330AF"/>
    <w:rsid w:val="00442FCC"/>
    <w:rsid w:val="00452DE3"/>
    <w:rsid w:val="00453D72"/>
    <w:rsid w:val="00456797"/>
    <w:rsid w:val="00463C6B"/>
    <w:rsid w:val="00482032"/>
    <w:rsid w:val="004B0203"/>
    <w:rsid w:val="004B1849"/>
    <w:rsid w:val="004B23F7"/>
    <w:rsid w:val="004B77C2"/>
    <w:rsid w:val="004D4B46"/>
    <w:rsid w:val="004E6186"/>
    <w:rsid w:val="004E6C76"/>
    <w:rsid w:val="004F1BBD"/>
    <w:rsid w:val="004F79B0"/>
    <w:rsid w:val="00502EF7"/>
    <w:rsid w:val="00506F0A"/>
    <w:rsid w:val="00513D62"/>
    <w:rsid w:val="00515B1D"/>
    <w:rsid w:val="005200C0"/>
    <w:rsid w:val="005203AB"/>
    <w:rsid w:val="00520A97"/>
    <w:rsid w:val="005264F6"/>
    <w:rsid w:val="005308F8"/>
    <w:rsid w:val="0053764F"/>
    <w:rsid w:val="00540010"/>
    <w:rsid w:val="005627D9"/>
    <w:rsid w:val="00571B18"/>
    <w:rsid w:val="005723CD"/>
    <w:rsid w:val="00574736"/>
    <w:rsid w:val="005908EB"/>
    <w:rsid w:val="00590ED5"/>
    <w:rsid w:val="005919CE"/>
    <w:rsid w:val="005A558B"/>
    <w:rsid w:val="005B1061"/>
    <w:rsid w:val="005B51A2"/>
    <w:rsid w:val="005C22D0"/>
    <w:rsid w:val="005C24B8"/>
    <w:rsid w:val="005C3877"/>
    <w:rsid w:val="005C6951"/>
    <w:rsid w:val="005C695E"/>
    <w:rsid w:val="005D1602"/>
    <w:rsid w:val="005D37A9"/>
    <w:rsid w:val="005E2850"/>
    <w:rsid w:val="005E3B48"/>
    <w:rsid w:val="006004DD"/>
    <w:rsid w:val="00601242"/>
    <w:rsid w:val="00616054"/>
    <w:rsid w:val="006170AF"/>
    <w:rsid w:val="00617DB4"/>
    <w:rsid w:val="00631C84"/>
    <w:rsid w:val="0063768F"/>
    <w:rsid w:val="00650E2F"/>
    <w:rsid w:val="0065759A"/>
    <w:rsid w:val="006768D8"/>
    <w:rsid w:val="00691284"/>
    <w:rsid w:val="006B0639"/>
    <w:rsid w:val="006B3B15"/>
    <w:rsid w:val="006C7512"/>
    <w:rsid w:val="006D12B6"/>
    <w:rsid w:val="006E38F9"/>
    <w:rsid w:val="006F2F01"/>
    <w:rsid w:val="007145EB"/>
    <w:rsid w:val="0071477B"/>
    <w:rsid w:val="007173E3"/>
    <w:rsid w:val="00717EA6"/>
    <w:rsid w:val="00725084"/>
    <w:rsid w:val="0073212B"/>
    <w:rsid w:val="00736D5C"/>
    <w:rsid w:val="0074542D"/>
    <w:rsid w:val="0076159A"/>
    <w:rsid w:val="0076209F"/>
    <w:rsid w:val="007625A1"/>
    <w:rsid w:val="007662B7"/>
    <w:rsid w:val="00780496"/>
    <w:rsid w:val="00792D84"/>
    <w:rsid w:val="007978D1"/>
    <w:rsid w:val="007B0097"/>
    <w:rsid w:val="007B4D16"/>
    <w:rsid w:val="007B5F9B"/>
    <w:rsid w:val="007B6A55"/>
    <w:rsid w:val="007D0E6B"/>
    <w:rsid w:val="007D2695"/>
    <w:rsid w:val="007D26AA"/>
    <w:rsid w:val="007D3329"/>
    <w:rsid w:val="007D5719"/>
    <w:rsid w:val="007E3A51"/>
    <w:rsid w:val="007F0433"/>
    <w:rsid w:val="00816165"/>
    <w:rsid w:val="00821AEB"/>
    <w:rsid w:val="00822807"/>
    <w:rsid w:val="00832471"/>
    <w:rsid w:val="00837CD5"/>
    <w:rsid w:val="0084466B"/>
    <w:rsid w:val="00854BBE"/>
    <w:rsid w:val="00871639"/>
    <w:rsid w:val="00871B88"/>
    <w:rsid w:val="008878CD"/>
    <w:rsid w:val="00894ED3"/>
    <w:rsid w:val="008A726C"/>
    <w:rsid w:val="008B4329"/>
    <w:rsid w:val="008C51A7"/>
    <w:rsid w:val="008C557B"/>
    <w:rsid w:val="008D1735"/>
    <w:rsid w:val="008D6697"/>
    <w:rsid w:val="008E07FF"/>
    <w:rsid w:val="008E51D7"/>
    <w:rsid w:val="009057A4"/>
    <w:rsid w:val="00933623"/>
    <w:rsid w:val="009354BD"/>
    <w:rsid w:val="00935984"/>
    <w:rsid w:val="009502DF"/>
    <w:rsid w:val="00950B34"/>
    <w:rsid w:val="009518A3"/>
    <w:rsid w:val="00951A35"/>
    <w:rsid w:val="00952ED6"/>
    <w:rsid w:val="0096422A"/>
    <w:rsid w:val="00970A04"/>
    <w:rsid w:val="009716F0"/>
    <w:rsid w:val="00977FB1"/>
    <w:rsid w:val="00984D97"/>
    <w:rsid w:val="009A5193"/>
    <w:rsid w:val="009A7521"/>
    <w:rsid w:val="009B2B9E"/>
    <w:rsid w:val="009B2D42"/>
    <w:rsid w:val="009B4533"/>
    <w:rsid w:val="009C06FC"/>
    <w:rsid w:val="009C67EB"/>
    <w:rsid w:val="009D5A5E"/>
    <w:rsid w:val="009E7D6D"/>
    <w:rsid w:val="00A02B0A"/>
    <w:rsid w:val="00A03383"/>
    <w:rsid w:val="00A15FC5"/>
    <w:rsid w:val="00A544C2"/>
    <w:rsid w:val="00A8354E"/>
    <w:rsid w:val="00A91865"/>
    <w:rsid w:val="00A946B3"/>
    <w:rsid w:val="00A950A4"/>
    <w:rsid w:val="00AA05EC"/>
    <w:rsid w:val="00AA1AE4"/>
    <w:rsid w:val="00AA37C3"/>
    <w:rsid w:val="00AA41DB"/>
    <w:rsid w:val="00AB478E"/>
    <w:rsid w:val="00AB6E6F"/>
    <w:rsid w:val="00AC3D57"/>
    <w:rsid w:val="00AD30EB"/>
    <w:rsid w:val="00AE2E3D"/>
    <w:rsid w:val="00AF07D2"/>
    <w:rsid w:val="00AF2F0F"/>
    <w:rsid w:val="00AF333E"/>
    <w:rsid w:val="00AF7430"/>
    <w:rsid w:val="00B166DD"/>
    <w:rsid w:val="00B17932"/>
    <w:rsid w:val="00B209CC"/>
    <w:rsid w:val="00B20ADF"/>
    <w:rsid w:val="00B23B3E"/>
    <w:rsid w:val="00B2499C"/>
    <w:rsid w:val="00B513DB"/>
    <w:rsid w:val="00B535E3"/>
    <w:rsid w:val="00B55CA0"/>
    <w:rsid w:val="00B70E73"/>
    <w:rsid w:val="00B7307A"/>
    <w:rsid w:val="00B73845"/>
    <w:rsid w:val="00B75471"/>
    <w:rsid w:val="00B75721"/>
    <w:rsid w:val="00B8029A"/>
    <w:rsid w:val="00B91785"/>
    <w:rsid w:val="00BB09C5"/>
    <w:rsid w:val="00BB5F6E"/>
    <w:rsid w:val="00BC3A90"/>
    <w:rsid w:val="00BD29CC"/>
    <w:rsid w:val="00BD3849"/>
    <w:rsid w:val="00BD7B4B"/>
    <w:rsid w:val="00BE4725"/>
    <w:rsid w:val="00BF3AC0"/>
    <w:rsid w:val="00C00638"/>
    <w:rsid w:val="00C01725"/>
    <w:rsid w:val="00C028E5"/>
    <w:rsid w:val="00C0540D"/>
    <w:rsid w:val="00C321BA"/>
    <w:rsid w:val="00C33FFD"/>
    <w:rsid w:val="00C433FB"/>
    <w:rsid w:val="00C434EE"/>
    <w:rsid w:val="00C47658"/>
    <w:rsid w:val="00C60D69"/>
    <w:rsid w:val="00C6356E"/>
    <w:rsid w:val="00C93959"/>
    <w:rsid w:val="00CA4039"/>
    <w:rsid w:val="00CB0C19"/>
    <w:rsid w:val="00CB779F"/>
    <w:rsid w:val="00CC1205"/>
    <w:rsid w:val="00CE5678"/>
    <w:rsid w:val="00D0042A"/>
    <w:rsid w:val="00D13AD2"/>
    <w:rsid w:val="00D31CD0"/>
    <w:rsid w:val="00D51FA6"/>
    <w:rsid w:val="00D52615"/>
    <w:rsid w:val="00D531A1"/>
    <w:rsid w:val="00D63264"/>
    <w:rsid w:val="00D75C48"/>
    <w:rsid w:val="00D77A4A"/>
    <w:rsid w:val="00D84075"/>
    <w:rsid w:val="00DC401D"/>
    <w:rsid w:val="00DC65D1"/>
    <w:rsid w:val="00DD382B"/>
    <w:rsid w:val="00DD4B82"/>
    <w:rsid w:val="00DD7B9C"/>
    <w:rsid w:val="00DE50AD"/>
    <w:rsid w:val="00E061F7"/>
    <w:rsid w:val="00E07506"/>
    <w:rsid w:val="00E07F53"/>
    <w:rsid w:val="00E27725"/>
    <w:rsid w:val="00E3616B"/>
    <w:rsid w:val="00E463BF"/>
    <w:rsid w:val="00E50F8B"/>
    <w:rsid w:val="00E57560"/>
    <w:rsid w:val="00E60DC1"/>
    <w:rsid w:val="00E656B3"/>
    <w:rsid w:val="00E7240B"/>
    <w:rsid w:val="00E749A3"/>
    <w:rsid w:val="00E81FF2"/>
    <w:rsid w:val="00E859C9"/>
    <w:rsid w:val="00E94D3D"/>
    <w:rsid w:val="00EB0209"/>
    <w:rsid w:val="00EB27EE"/>
    <w:rsid w:val="00EB571C"/>
    <w:rsid w:val="00EB71E1"/>
    <w:rsid w:val="00EC13F0"/>
    <w:rsid w:val="00EC63F5"/>
    <w:rsid w:val="00EC6C1E"/>
    <w:rsid w:val="00ED68AD"/>
    <w:rsid w:val="00ED7821"/>
    <w:rsid w:val="00EE2B2F"/>
    <w:rsid w:val="00F03D9C"/>
    <w:rsid w:val="00F107A5"/>
    <w:rsid w:val="00F165A0"/>
    <w:rsid w:val="00F327D6"/>
    <w:rsid w:val="00F334E6"/>
    <w:rsid w:val="00F35C72"/>
    <w:rsid w:val="00F43EE3"/>
    <w:rsid w:val="00F45F31"/>
    <w:rsid w:val="00F472DC"/>
    <w:rsid w:val="00F63012"/>
    <w:rsid w:val="00F82B34"/>
    <w:rsid w:val="00F96CE0"/>
    <w:rsid w:val="00F9793C"/>
    <w:rsid w:val="00FA5D50"/>
    <w:rsid w:val="00FB2B40"/>
    <w:rsid w:val="00FC53F0"/>
    <w:rsid w:val="00FD3D67"/>
    <w:rsid w:val="00FE5B4C"/>
    <w:rsid w:val="00FF258F"/>
    <w:rsid w:val="00FF5441"/>
    <w:rsid w:val="02E679D0"/>
    <w:rsid w:val="0982CB91"/>
    <w:rsid w:val="0994122C"/>
    <w:rsid w:val="0BCF5F51"/>
    <w:rsid w:val="0EBFFF0E"/>
    <w:rsid w:val="0F61EF4D"/>
    <w:rsid w:val="13744E54"/>
    <w:rsid w:val="16CB10F3"/>
    <w:rsid w:val="191B1C29"/>
    <w:rsid w:val="1B9E8216"/>
    <w:rsid w:val="222F15EB"/>
    <w:rsid w:val="2462E2E9"/>
    <w:rsid w:val="29B37D8B"/>
    <w:rsid w:val="2A60FC72"/>
    <w:rsid w:val="2E4AF6B9"/>
    <w:rsid w:val="302745B5"/>
    <w:rsid w:val="33483F41"/>
    <w:rsid w:val="36629683"/>
    <w:rsid w:val="396DC37E"/>
    <w:rsid w:val="39C8A990"/>
    <w:rsid w:val="402106DA"/>
    <w:rsid w:val="4181F7C6"/>
    <w:rsid w:val="4313CAFD"/>
    <w:rsid w:val="435B6E99"/>
    <w:rsid w:val="477FF99E"/>
    <w:rsid w:val="4972AC71"/>
    <w:rsid w:val="4DE58371"/>
    <w:rsid w:val="50F16D5C"/>
    <w:rsid w:val="517DBE56"/>
    <w:rsid w:val="53198EB7"/>
    <w:rsid w:val="5A6B7C87"/>
    <w:rsid w:val="5D2C6C94"/>
    <w:rsid w:val="5DA2659C"/>
    <w:rsid w:val="5DF55499"/>
    <w:rsid w:val="5FFFFF45"/>
    <w:rsid w:val="65A61D78"/>
    <w:rsid w:val="68F6E697"/>
    <w:rsid w:val="6B42B1EC"/>
    <w:rsid w:val="6F96BD05"/>
    <w:rsid w:val="70E8D01F"/>
    <w:rsid w:val="77B26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C7FBB"/>
  <w15:chartTrackingRefBased/>
  <w15:docId w15:val="{9E2E1DB0-D292-4406-9218-5C55709A4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42BE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242BEF"/>
    <w:rPr>
      <w:rFonts w:ascii="Consolas" w:eastAsiaTheme="minorHAnsi" w:hAnsi="Consolas"/>
      <w:sz w:val="21"/>
      <w:szCs w:val="21"/>
    </w:rPr>
  </w:style>
  <w:style w:type="paragraph" w:styleId="FootnoteText">
    <w:name w:val="footnote text"/>
    <w:basedOn w:val="Normal"/>
    <w:link w:val="FootnoteTextChar"/>
    <w:uiPriority w:val="99"/>
    <w:semiHidden/>
    <w:unhideWhenUsed/>
    <w:rsid w:val="00242B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242BEF"/>
    <w:rPr>
      <w:rFonts w:eastAsiaTheme="minorHAnsi"/>
      <w:sz w:val="20"/>
      <w:szCs w:val="20"/>
    </w:rPr>
  </w:style>
  <w:style w:type="character" w:styleId="FootnoteReference">
    <w:name w:val="footnote reference"/>
    <w:basedOn w:val="DefaultParagraphFont"/>
    <w:uiPriority w:val="99"/>
    <w:semiHidden/>
    <w:unhideWhenUsed/>
    <w:rsid w:val="00242BEF"/>
    <w:rPr>
      <w:vertAlign w:val="superscript"/>
    </w:rPr>
  </w:style>
  <w:style w:type="paragraph" w:styleId="Header">
    <w:name w:val="header"/>
    <w:basedOn w:val="Normal"/>
    <w:link w:val="HeaderChar"/>
    <w:uiPriority w:val="99"/>
    <w:unhideWhenUsed/>
    <w:rsid w:val="00970A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A04"/>
  </w:style>
  <w:style w:type="paragraph" w:styleId="Footer">
    <w:name w:val="footer"/>
    <w:basedOn w:val="Normal"/>
    <w:link w:val="FooterChar"/>
    <w:uiPriority w:val="99"/>
    <w:unhideWhenUsed/>
    <w:rsid w:val="00970A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A04"/>
  </w:style>
  <w:style w:type="paragraph" w:styleId="ListParagraph">
    <w:name w:val="List Paragraph"/>
    <w:basedOn w:val="Normal"/>
    <w:uiPriority w:val="34"/>
    <w:qFormat/>
    <w:rsid w:val="00832471"/>
    <w:pPr>
      <w:ind w:left="720"/>
      <w:contextualSpacing/>
    </w:pPr>
  </w:style>
  <w:style w:type="table" w:styleId="TableGrid">
    <w:name w:val="Table Grid"/>
    <w:basedOn w:val="TableNormal"/>
    <w:uiPriority w:val="39"/>
    <w:rsid w:val="00BD7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2E018D"/>
    <w:pPr>
      <w:spacing w:line="240" w:lineRule="auto"/>
    </w:pPr>
    <w:rPr>
      <w:sz w:val="20"/>
      <w:szCs w:val="20"/>
    </w:rPr>
  </w:style>
  <w:style w:type="character" w:customStyle="1" w:styleId="CommentTextChar">
    <w:name w:val="Comment Text Char"/>
    <w:basedOn w:val="DefaultParagraphFont"/>
    <w:link w:val="CommentText"/>
    <w:uiPriority w:val="99"/>
    <w:semiHidden/>
    <w:rsid w:val="002E018D"/>
    <w:rPr>
      <w:sz w:val="20"/>
      <w:szCs w:val="20"/>
    </w:rPr>
  </w:style>
  <w:style w:type="paragraph" w:styleId="BalloonText">
    <w:name w:val="Balloon Text"/>
    <w:basedOn w:val="Normal"/>
    <w:link w:val="BalloonTextChar"/>
    <w:uiPriority w:val="99"/>
    <w:semiHidden/>
    <w:unhideWhenUsed/>
    <w:rsid w:val="002E018D"/>
    <w:pPr>
      <w:spacing w:after="0" w:line="240" w:lineRule="auto"/>
    </w:pPr>
    <w:rPr>
      <w:rFonts w:ascii="Segoe UI" w:hAnsi="Segoe UI" w:cs="Segoe UI"/>
      <w:sz w:val="20"/>
      <w:szCs w:val="18"/>
    </w:rPr>
  </w:style>
  <w:style w:type="character" w:customStyle="1" w:styleId="BalloonTextChar">
    <w:name w:val="Balloon Text Char"/>
    <w:basedOn w:val="DefaultParagraphFont"/>
    <w:link w:val="BalloonText"/>
    <w:uiPriority w:val="99"/>
    <w:semiHidden/>
    <w:rsid w:val="002E018D"/>
    <w:rPr>
      <w:rFonts w:ascii="Segoe UI" w:hAnsi="Segoe UI" w:cs="Segoe UI"/>
      <w:sz w:val="20"/>
      <w:szCs w:val="18"/>
    </w:rPr>
  </w:style>
  <w:style w:type="character" w:styleId="CommentReference">
    <w:name w:val="annotation reference"/>
    <w:basedOn w:val="DefaultParagraphFont"/>
    <w:uiPriority w:val="99"/>
    <w:semiHidden/>
    <w:unhideWhenUsed/>
    <w:rsid w:val="005919CE"/>
    <w:rPr>
      <w:sz w:val="16"/>
      <w:szCs w:val="16"/>
    </w:rPr>
  </w:style>
  <w:style w:type="paragraph" w:styleId="CommentSubject">
    <w:name w:val="annotation subject"/>
    <w:basedOn w:val="CommentText"/>
    <w:next w:val="CommentText"/>
    <w:link w:val="CommentSubjectChar"/>
    <w:uiPriority w:val="99"/>
    <w:semiHidden/>
    <w:unhideWhenUsed/>
    <w:rsid w:val="005919CE"/>
    <w:rPr>
      <w:b/>
      <w:bCs/>
    </w:rPr>
  </w:style>
  <w:style w:type="character" w:customStyle="1" w:styleId="CommentSubjectChar">
    <w:name w:val="Comment Subject Char"/>
    <w:basedOn w:val="CommentTextChar"/>
    <w:link w:val="CommentSubject"/>
    <w:uiPriority w:val="99"/>
    <w:semiHidden/>
    <w:rsid w:val="005919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B3DE6-8BF1-40D1-85CE-3A3ECF1E5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2198</Words>
  <Characters>12533</Characters>
  <Application>Microsoft Office Word</Application>
  <DocSecurity>0</DocSecurity>
  <Lines>104</Lines>
  <Paragraphs>29</Paragraphs>
  <ScaleCrop>false</ScaleCrop>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Carter</dc:creator>
  <cp:keywords/>
  <dc:description/>
  <cp:lastModifiedBy>Kevin Carter</cp:lastModifiedBy>
  <cp:revision>6</cp:revision>
  <cp:lastPrinted>2021-02-12T17:33:00Z</cp:lastPrinted>
  <dcterms:created xsi:type="dcterms:W3CDTF">2021-02-14T02:25:00Z</dcterms:created>
  <dcterms:modified xsi:type="dcterms:W3CDTF">2021-02-14T02:29:00Z</dcterms:modified>
</cp:coreProperties>
</file>